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905807" w14:textId="21336F17" w:rsidR="008B5D5C" w:rsidRPr="00E402A8" w:rsidRDefault="008B5D5C" w:rsidP="008B5D5C">
      <w:pPr>
        <w:pStyle w:val="CRCoverPage"/>
        <w:tabs>
          <w:tab w:val="right" w:pos="9639"/>
        </w:tabs>
        <w:spacing w:after="0"/>
        <w:rPr>
          <w:b/>
          <w:i/>
          <w:noProof/>
          <w:sz w:val="28"/>
          <w:lang w:val="en-US"/>
        </w:rPr>
      </w:pPr>
      <w:bookmarkStart w:id="0" w:name="_Toc92513360"/>
      <w:bookmarkStart w:id="1" w:name="_Ref399006623"/>
      <w:r>
        <w:rPr>
          <w:b/>
          <w:noProof/>
          <w:sz w:val="24"/>
        </w:rPr>
        <w:t>3GPP TSG-RAN WG4 Meeting #82</w:t>
      </w:r>
      <w:r w:rsidR="0037663F">
        <w:rPr>
          <w:b/>
          <w:noProof/>
          <w:sz w:val="24"/>
        </w:rPr>
        <w:t>bis</w:t>
      </w:r>
      <w:r w:rsidRPr="00E402A8">
        <w:rPr>
          <w:b/>
          <w:i/>
          <w:noProof/>
          <w:sz w:val="24"/>
        </w:rPr>
        <w:t xml:space="preserve"> </w:t>
      </w:r>
      <w:r w:rsidRPr="00E402A8">
        <w:rPr>
          <w:b/>
          <w:i/>
          <w:noProof/>
          <w:sz w:val="28"/>
        </w:rPr>
        <w:tab/>
      </w:r>
      <w:r w:rsidR="005E3498" w:rsidRPr="005E3498">
        <w:rPr>
          <w:b/>
          <w:noProof/>
          <w:sz w:val="24"/>
        </w:rPr>
        <w:t>R4-1702862</w:t>
      </w:r>
    </w:p>
    <w:p w14:paraId="6DD7436A" w14:textId="77777777" w:rsidR="0037663F" w:rsidRDefault="0037663F" w:rsidP="0037663F">
      <w:pPr>
        <w:pStyle w:val="CRCoverPage"/>
        <w:outlineLvl w:val="0"/>
        <w:rPr>
          <w:b/>
          <w:noProof/>
          <w:sz w:val="24"/>
        </w:rPr>
      </w:pPr>
      <w:r>
        <w:rPr>
          <w:b/>
          <w:noProof/>
          <w:sz w:val="24"/>
        </w:rPr>
        <w:t>Spokane, US, 3 – 7 April, 2017</w:t>
      </w:r>
    </w:p>
    <w:p w14:paraId="1054EEDC" w14:textId="77777777" w:rsidR="00B53ECC" w:rsidRDefault="00B53ECC" w:rsidP="00B53ECC">
      <w:pPr>
        <w:tabs>
          <w:tab w:val="left" w:pos="1985"/>
        </w:tabs>
        <w:spacing w:after="100" w:afterAutospacing="1"/>
        <w:jc w:val="both"/>
        <w:rPr>
          <w:b/>
          <w:noProof/>
          <w:sz w:val="24"/>
        </w:rPr>
      </w:pPr>
    </w:p>
    <w:p w14:paraId="255C2A17" w14:textId="31C6275F" w:rsidR="00B53ECC" w:rsidRDefault="00B53ECC" w:rsidP="00B53ECC">
      <w:pPr>
        <w:tabs>
          <w:tab w:val="left" w:pos="1985"/>
        </w:tabs>
        <w:jc w:val="both"/>
        <w:rPr>
          <w:rFonts w:ascii="Arial" w:hAnsi="Arial" w:cs="Arial"/>
          <w:b/>
          <w:sz w:val="22"/>
        </w:rPr>
      </w:pPr>
      <w:r>
        <w:rPr>
          <w:rFonts w:ascii="Arial" w:hAnsi="Arial" w:cs="Arial"/>
          <w:b/>
          <w:sz w:val="22"/>
        </w:rPr>
        <w:t>Source:</w:t>
      </w:r>
      <w:r>
        <w:rPr>
          <w:rFonts w:ascii="Arial" w:hAnsi="Arial" w:cs="Arial"/>
          <w:b/>
          <w:sz w:val="22"/>
        </w:rPr>
        <w:tab/>
      </w:r>
      <w:r w:rsidR="002E2C87">
        <w:rPr>
          <w:rFonts w:ascii="Arial" w:hAnsi="Arial" w:cs="Arial"/>
          <w:sz w:val="22"/>
        </w:rPr>
        <w:t>Nokia</w:t>
      </w:r>
      <w:r w:rsidR="00A73DB3">
        <w:rPr>
          <w:rFonts w:ascii="Arial" w:hAnsi="Arial" w:cs="Arial"/>
          <w:sz w:val="22"/>
        </w:rPr>
        <w:t>, Alcatel-Lucent Shanghai Bell</w:t>
      </w:r>
    </w:p>
    <w:p w14:paraId="50F45AAB" w14:textId="2E81F1F8" w:rsidR="001E1F87" w:rsidRDefault="00080BC3" w:rsidP="00B53ECC">
      <w:pPr>
        <w:tabs>
          <w:tab w:val="left" w:pos="1985"/>
        </w:tabs>
        <w:jc w:val="both"/>
        <w:rPr>
          <w:rFonts w:ascii="Arial" w:hAnsi="Arial" w:cs="Arial"/>
          <w:sz w:val="22"/>
        </w:rPr>
      </w:pPr>
      <w:r>
        <w:rPr>
          <w:rFonts w:ascii="Arial" w:hAnsi="Arial" w:cs="Arial"/>
          <w:b/>
          <w:sz w:val="22"/>
        </w:rPr>
        <w:t>Title:</w:t>
      </w:r>
      <w:r>
        <w:rPr>
          <w:rFonts w:ascii="Arial" w:hAnsi="Arial" w:cs="Arial"/>
          <w:b/>
          <w:sz w:val="22"/>
        </w:rPr>
        <w:tab/>
      </w:r>
      <w:r w:rsidR="005E3498" w:rsidRPr="005E3498">
        <w:rPr>
          <w:rFonts w:ascii="Arial" w:hAnsi="Arial" w:cs="Arial"/>
          <w:sz w:val="22"/>
        </w:rPr>
        <w:t>Further discussion on shortened TTI RRM impacts</w:t>
      </w:r>
    </w:p>
    <w:p w14:paraId="10D50F48" w14:textId="3982F453" w:rsidR="00B53ECC" w:rsidRDefault="00B53ECC" w:rsidP="00B53ECC">
      <w:pPr>
        <w:tabs>
          <w:tab w:val="left" w:pos="1985"/>
        </w:tabs>
        <w:jc w:val="both"/>
        <w:rPr>
          <w:rFonts w:ascii="Arial" w:hAnsi="Arial" w:cs="Arial"/>
          <w:sz w:val="22"/>
        </w:rPr>
      </w:pPr>
      <w:r>
        <w:rPr>
          <w:rFonts w:ascii="Arial" w:hAnsi="Arial" w:cs="Arial"/>
          <w:b/>
          <w:sz w:val="22"/>
        </w:rPr>
        <w:t>Agenda Item:</w:t>
      </w:r>
      <w:r>
        <w:rPr>
          <w:rFonts w:ascii="Arial" w:hAnsi="Arial" w:cs="Arial"/>
          <w:sz w:val="22"/>
        </w:rPr>
        <w:tab/>
      </w:r>
      <w:r w:rsidR="005E3498" w:rsidRPr="005E3498">
        <w:rPr>
          <w:rFonts w:ascii="Arial" w:hAnsi="Arial" w:cs="Arial"/>
          <w:sz w:val="22"/>
        </w:rPr>
        <w:t>9.13.4</w:t>
      </w:r>
    </w:p>
    <w:p w14:paraId="58B7EA1D" w14:textId="77777777" w:rsidR="00B53ECC" w:rsidRDefault="00B53ECC" w:rsidP="00B53ECC">
      <w:pPr>
        <w:tabs>
          <w:tab w:val="left" w:pos="1985"/>
        </w:tabs>
        <w:jc w:val="both"/>
        <w:rPr>
          <w:rFonts w:ascii="Arial" w:hAnsi="Arial" w:cs="Arial"/>
          <w:sz w:val="22"/>
        </w:rPr>
      </w:pPr>
      <w:r>
        <w:rPr>
          <w:rFonts w:ascii="Arial" w:hAnsi="Arial" w:cs="Arial"/>
          <w:b/>
          <w:sz w:val="22"/>
        </w:rPr>
        <w:t>Document for:</w:t>
      </w:r>
      <w:r>
        <w:rPr>
          <w:rFonts w:ascii="Arial" w:hAnsi="Arial" w:cs="Arial"/>
          <w:sz w:val="22"/>
        </w:rPr>
        <w:tab/>
      </w:r>
      <w:r w:rsidRPr="00AB2F02">
        <w:rPr>
          <w:rFonts w:ascii="Arial" w:hAnsi="Arial" w:cs="Arial"/>
          <w:sz w:val="22"/>
        </w:rPr>
        <w:t>Discussion</w:t>
      </w:r>
      <w:bookmarkEnd w:id="0"/>
      <w:bookmarkEnd w:id="1"/>
    </w:p>
    <w:p w14:paraId="229D33C7" w14:textId="77777777" w:rsidR="00B53ECC" w:rsidRDefault="00B53ECC" w:rsidP="00B53ECC">
      <w:pPr>
        <w:pStyle w:val="Heading1"/>
        <w:numPr>
          <w:ilvl w:val="0"/>
          <w:numId w:val="1"/>
        </w:numPr>
        <w:tabs>
          <w:tab w:val="num" w:pos="45"/>
        </w:tabs>
        <w:ind w:left="405"/>
      </w:pPr>
      <w:r w:rsidRPr="002D46E9">
        <w:t>Introduction</w:t>
      </w:r>
    </w:p>
    <w:p w14:paraId="419D546B" w14:textId="14B32CB2" w:rsidR="00254D50" w:rsidRDefault="00254D50" w:rsidP="00254D50">
      <w:pPr>
        <w:rPr>
          <w:szCs w:val="21"/>
        </w:rPr>
      </w:pPr>
      <w:r>
        <w:rPr>
          <w:lang w:eastAsia="zh-CN"/>
        </w:rPr>
        <w:t xml:space="preserve">A new work item on </w:t>
      </w:r>
      <w:r w:rsidRPr="00254D50">
        <w:rPr>
          <w:szCs w:val="21"/>
        </w:rPr>
        <w:t>shortened TTI and processing time for LTE</w:t>
      </w:r>
      <w:r>
        <w:rPr>
          <w:szCs w:val="21"/>
        </w:rPr>
        <w:t xml:space="preserve"> was approved in [1]. The objective of the work item is to specify shortened TTI operation and shortened processing time for both legacy (1 ms) and shortened TTI, with covering the case of carrier aggregation and non-carrier aggregation and frame structures 1-3. </w:t>
      </w:r>
      <w:r w:rsidR="004A4DFA">
        <w:rPr>
          <w:szCs w:val="21"/>
        </w:rPr>
        <w:t>The discussion about possible RRM impacts to 36.133 start</w:t>
      </w:r>
      <w:r w:rsidR="003B20A5">
        <w:rPr>
          <w:szCs w:val="21"/>
        </w:rPr>
        <w:t>ed in the RAN4#81 meeting in Reno, and a way forward was agreed in RAN4#82 meeting in Athens [2]. In this contribution</w:t>
      </w:r>
      <w:r w:rsidR="006B5C60">
        <w:rPr>
          <w:szCs w:val="21"/>
        </w:rPr>
        <w:t>,</w:t>
      </w:r>
      <w:r w:rsidR="003B20A5">
        <w:rPr>
          <w:szCs w:val="21"/>
        </w:rPr>
        <w:t xml:space="preserve"> we discuss further the items lis</w:t>
      </w:r>
      <w:r w:rsidR="006B5C60">
        <w:rPr>
          <w:szCs w:val="21"/>
        </w:rPr>
        <w:t>ted as possibly impacted RRM items</w:t>
      </w:r>
      <w:r w:rsidR="003B20A5">
        <w:rPr>
          <w:szCs w:val="21"/>
        </w:rPr>
        <w:t xml:space="preserve"> in the way forward.</w:t>
      </w:r>
    </w:p>
    <w:p w14:paraId="0335966B" w14:textId="50804E1C" w:rsidR="005A67B4" w:rsidRDefault="00AC3326" w:rsidP="00CA3593">
      <w:pPr>
        <w:pStyle w:val="Heading1"/>
        <w:numPr>
          <w:ilvl w:val="0"/>
          <w:numId w:val="1"/>
        </w:numPr>
        <w:tabs>
          <w:tab w:val="num" w:pos="45"/>
        </w:tabs>
        <w:ind w:left="405"/>
      </w:pPr>
      <w:r>
        <w:t>Discussion</w:t>
      </w:r>
    </w:p>
    <w:p w14:paraId="5ABB77A4" w14:textId="44B52113" w:rsidR="006A4950" w:rsidRPr="006A4950" w:rsidRDefault="006A4950" w:rsidP="006A4950">
      <w:pPr>
        <w:rPr>
          <w:lang w:eastAsia="zh-CN"/>
        </w:rPr>
      </w:pPr>
      <w:r>
        <w:rPr>
          <w:lang w:eastAsia="zh-CN"/>
        </w:rPr>
        <w:t>The sections that are considered as possibly impacted in TS 36.133 were listed in the WF [2] and are shown in Table 1.</w:t>
      </w:r>
    </w:p>
    <w:p w14:paraId="3B3A6674" w14:textId="74066C20" w:rsidR="006A4950" w:rsidRDefault="006A4950" w:rsidP="006A4950">
      <w:pPr>
        <w:pStyle w:val="Caption"/>
        <w:keepNext/>
      </w:pPr>
      <w:r>
        <w:t xml:space="preserve">Table </w:t>
      </w:r>
      <w:r>
        <w:fldChar w:fldCharType="begin"/>
      </w:r>
      <w:r>
        <w:instrText xml:space="preserve"> SEQ Table \* ARABIC </w:instrText>
      </w:r>
      <w:r>
        <w:fldChar w:fldCharType="separate"/>
      </w:r>
      <w:r>
        <w:rPr>
          <w:noProof/>
        </w:rPr>
        <w:t>1</w:t>
      </w:r>
      <w:r>
        <w:fldChar w:fldCharType="end"/>
      </w:r>
      <w:r>
        <w:t>: Requirements to be investigated in the short TTI work 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2073"/>
        <w:gridCol w:w="4968"/>
      </w:tblGrid>
      <w:tr w:rsidR="006B5C60" w14:paraId="234386E3" w14:textId="77777777" w:rsidTr="006B5C60">
        <w:trPr>
          <w:jc w:val="center"/>
        </w:trPr>
        <w:tc>
          <w:tcPr>
            <w:tcW w:w="1248" w:type="dxa"/>
            <w:tcBorders>
              <w:top w:val="single" w:sz="4" w:space="0" w:color="auto"/>
              <w:left w:val="single" w:sz="4" w:space="0" w:color="auto"/>
              <w:bottom w:val="single" w:sz="4" w:space="0" w:color="auto"/>
              <w:right w:val="single" w:sz="4" w:space="0" w:color="auto"/>
            </w:tcBorders>
            <w:hideMark/>
          </w:tcPr>
          <w:p w14:paraId="591DE502" w14:textId="320AC51A" w:rsidR="006B5C60" w:rsidRDefault="006B5C60">
            <w:pPr>
              <w:rPr>
                <w:b/>
                <w:sz w:val="20"/>
              </w:rPr>
            </w:pPr>
            <w:r>
              <w:rPr>
                <w:b/>
              </w:rPr>
              <w:t>Clause</w:t>
            </w:r>
          </w:p>
        </w:tc>
        <w:tc>
          <w:tcPr>
            <w:tcW w:w="2073" w:type="dxa"/>
            <w:tcBorders>
              <w:top w:val="single" w:sz="4" w:space="0" w:color="auto"/>
              <w:left w:val="single" w:sz="4" w:space="0" w:color="auto"/>
              <w:bottom w:val="single" w:sz="4" w:space="0" w:color="auto"/>
              <w:right w:val="single" w:sz="4" w:space="0" w:color="auto"/>
            </w:tcBorders>
            <w:hideMark/>
          </w:tcPr>
          <w:p w14:paraId="6AE767E6" w14:textId="77777777" w:rsidR="006B5C60" w:rsidRDefault="006B5C60">
            <w:pPr>
              <w:rPr>
                <w:b/>
              </w:rPr>
            </w:pPr>
            <w:r>
              <w:rPr>
                <w:b/>
              </w:rPr>
              <w:t>Impacted Requirement</w:t>
            </w:r>
          </w:p>
        </w:tc>
        <w:tc>
          <w:tcPr>
            <w:tcW w:w="4968" w:type="dxa"/>
            <w:tcBorders>
              <w:top w:val="single" w:sz="4" w:space="0" w:color="auto"/>
              <w:left w:val="single" w:sz="4" w:space="0" w:color="auto"/>
              <w:bottom w:val="single" w:sz="4" w:space="0" w:color="auto"/>
              <w:right w:val="single" w:sz="4" w:space="0" w:color="auto"/>
            </w:tcBorders>
            <w:hideMark/>
          </w:tcPr>
          <w:p w14:paraId="4A89CB27" w14:textId="77777777" w:rsidR="006B5C60" w:rsidRDefault="006B5C60">
            <w:pPr>
              <w:rPr>
                <w:b/>
              </w:rPr>
            </w:pPr>
            <w:r>
              <w:rPr>
                <w:b/>
              </w:rPr>
              <w:t>Notes</w:t>
            </w:r>
          </w:p>
        </w:tc>
      </w:tr>
      <w:tr w:rsidR="006B5C60" w:rsidRPr="006A4950" w14:paraId="6D93E705" w14:textId="77777777" w:rsidTr="006B5C60">
        <w:trPr>
          <w:jc w:val="center"/>
        </w:trPr>
        <w:tc>
          <w:tcPr>
            <w:tcW w:w="1248" w:type="dxa"/>
            <w:tcBorders>
              <w:top w:val="single" w:sz="4" w:space="0" w:color="auto"/>
              <w:left w:val="single" w:sz="4" w:space="0" w:color="auto"/>
              <w:bottom w:val="single" w:sz="4" w:space="0" w:color="auto"/>
              <w:right w:val="single" w:sz="4" w:space="0" w:color="auto"/>
            </w:tcBorders>
            <w:hideMark/>
          </w:tcPr>
          <w:p w14:paraId="709A85A2" w14:textId="23562A40" w:rsidR="006B5C60" w:rsidRDefault="006B5C60">
            <w:r>
              <w:t>7.1.2</w:t>
            </w:r>
          </w:p>
        </w:tc>
        <w:tc>
          <w:tcPr>
            <w:tcW w:w="2073" w:type="dxa"/>
            <w:tcBorders>
              <w:top w:val="single" w:sz="4" w:space="0" w:color="auto"/>
              <w:left w:val="single" w:sz="4" w:space="0" w:color="auto"/>
              <w:bottom w:val="single" w:sz="4" w:space="0" w:color="auto"/>
              <w:right w:val="single" w:sz="4" w:space="0" w:color="auto"/>
            </w:tcBorders>
            <w:hideMark/>
          </w:tcPr>
          <w:p w14:paraId="73058984" w14:textId="77777777" w:rsidR="006B5C60" w:rsidRDefault="006B5C60">
            <w:r>
              <w:t>S-PUCCH and S-PUSCH transmission timing requirements</w:t>
            </w:r>
          </w:p>
        </w:tc>
        <w:tc>
          <w:tcPr>
            <w:tcW w:w="4968" w:type="dxa"/>
            <w:tcBorders>
              <w:top w:val="single" w:sz="4" w:space="0" w:color="auto"/>
              <w:left w:val="single" w:sz="4" w:space="0" w:color="auto"/>
              <w:bottom w:val="single" w:sz="4" w:space="0" w:color="auto"/>
              <w:right w:val="single" w:sz="4" w:space="0" w:color="auto"/>
            </w:tcBorders>
            <w:hideMark/>
          </w:tcPr>
          <w:p w14:paraId="36797BEC" w14:textId="77777777" w:rsidR="006B5C60" w:rsidRDefault="006B5C60">
            <w:proofErr w:type="spellStart"/>
            <w:r>
              <w:t>Assuption</w:t>
            </w:r>
            <w:proofErr w:type="spellEnd"/>
            <w:r>
              <w:t xml:space="preserve"> is that PUCCH and PUSCH requirements can be reused</w:t>
            </w:r>
          </w:p>
        </w:tc>
      </w:tr>
      <w:tr w:rsidR="006B5C60" w14:paraId="237DBDED" w14:textId="77777777" w:rsidTr="006B5C60">
        <w:trPr>
          <w:jc w:val="center"/>
        </w:trPr>
        <w:tc>
          <w:tcPr>
            <w:tcW w:w="1248" w:type="dxa"/>
            <w:tcBorders>
              <w:top w:val="single" w:sz="4" w:space="0" w:color="auto"/>
              <w:left w:val="single" w:sz="4" w:space="0" w:color="auto"/>
              <w:bottom w:val="single" w:sz="4" w:space="0" w:color="auto"/>
              <w:right w:val="single" w:sz="4" w:space="0" w:color="auto"/>
            </w:tcBorders>
            <w:hideMark/>
          </w:tcPr>
          <w:p w14:paraId="5E12A64C" w14:textId="72B88F4F" w:rsidR="006B5C60" w:rsidRDefault="006B5C60">
            <w:r>
              <w:t>7.3.2.1</w:t>
            </w:r>
          </w:p>
        </w:tc>
        <w:tc>
          <w:tcPr>
            <w:tcW w:w="2073" w:type="dxa"/>
            <w:tcBorders>
              <w:top w:val="single" w:sz="4" w:space="0" w:color="auto"/>
              <w:left w:val="single" w:sz="4" w:space="0" w:color="auto"/>
              <w:bottom w:val="single" w:sz="4" w:space="0" w:color="auto"/>
              <w:right w:val="single" w:sz="4" w:space="0" w:color="auto"/>
            </w:tcBorders>
            <w:hideMark/>
          </w:tcPr>
          <w:p w14:paraId="0C8298A4" w14:textId="77777777" w:rsidR="006B5C60" w:rsidRDefault="006B5C60">
            <w:r>
              <w:t>TA adjustment delay for reduced processing time with 1ms TTI.</w:t>
            </w:r>
          </w:p>
        </w:tc>
        <w:tc>
          <w:tcPr>
            <w:tcW w:w="4968" w:type="dxa"/>
            <w:tcBorders>
              <w:top w:val="single" w:sz="4" w:space="0" w:color="auto"/>
              <w:left w:val="single" w:sz="4" w:space="0" w:color="auto"/>
              <w:bottom w:val="single" w:sz="4" w:space="0" w:color="auto"/>
              <w:right w:val="single" w:sz="4" w:space="0" w:color="auto"/>
            </w:tcBorders>
            <w:hideMark/>
          </w:tcPr>
          <w:p w14:paraId="092675B1" w14:textId="77777777" w:rsidR="006B5C60" w:rsidRDefault="006B5C60">
            <w:r>
              <w:t>Depending on RAN1</w:t>
            </w:r>
          </w:p>
        </w:tc>
      </w:tr>
      <w:tr w:rsidR="006B5C60" w:rsidRPr="006A4950" w14:paraId="2AE331A9" w14:textId="77777777" w:rsidTr="006B5C60">
        <w:trPr>
          <w:jc w:val="center"/>
        </w:trPr>
        <w:tc>
          <w:tcPr>
            <w:tcW w:w="1248" w:type="dxa"/>
            <w:tcBorders>
              <w:top w:val="single" w:sz="4" w:space="0" w:color="auto"/>
              <w:left w:val="single" w:sz="4" w:space="0" w:color="auto"/>
              <w:bottom w:val="single" w:sz="4" w:space="0" w:color="auto"/>
              <w:right w:val="single" w:sz="4" w:space="0" w:color="auto"/>
            </w:tcBorders>
            <w:hideMark/>
          </w:tcPr>
          <w:p w14:paraId="29EBF089" w14:textId="26C54811" w:rsidR="006B5C60" w:rsidRDefault="006B5C60">
            <w:r>
              <w:t>7.7</w:t>
            </w:r>
          </w:p>
        </w:tc>
        <w:tc>
          <w:tcPr>
            <w:tcW w:w="2073" w:type="dxa"/>
            <w:tcBorders>
              <w:top w:val="single" w:sz="4" w:space="0" w:color="auto"/>
              <w:left w:val="single" w:sz="4" w:space="0" w:color="auto"/>
              <w:bottom w:val="single" w:sz="4" w:space="0" w:color="auto"/>
              <w:right w:val="single" w:sz="4" w:space="0" w:color="auto"/>
            </w:tcBorders>
            <w:hideMark/>
          </w:tcPr>
          <w:p w14:paraId="5B777D87" w14:textId="77777777" w:rsidR="006B5C60" w:rsidRDefault="006B5C60">
            <w:r>
              <w:t>SCell activation and deactivation delay</w:t>
            </w:r>
          </w:p>
        </w:tc>
        <w:tc>
          <w:tcPr>
            <w:tcW w:w="4968" w:type="dxa"/>
            <w:tcBorders>
              <w:top w:val="single" w:sz="4" w:space="0" w:color="auto"/>
              <w:left w:val="single" w:sz="4" w:space="0" w:color="auto"/>
              <w:bottom w:val="single" w:sz="4" w:space="0" w:color="auto"/>
              <w:right w:val="single" w:sz="4" w:space="0" w:color="auto"/>
            </w:tcBorders>
            <w:hideMark/>
          </w:tcPr>
          <w:p w14:paraId="12178202" w14:textId="77777777" w:rsidR="006B5C60" w:rsidRDefault="006B5C60">
            <w:r>
              <w:t xml:space="preserve">Investigate activation and deactivation delays </w:t>
            </w:r>
            <w:proofErr w:type="spellStart"/>
            <w:r>
              <w:t>cosniderong</w:t>
            </w:r>
            <w:proofErr w:type="spellEnd"/>
            <w:r>
              <w:t xml:space="preserve"> shorter processing delay for activation command and CQI reporting aspects.</w:t>
            </w:r>
          </w:p>
        </w:tc>
      </w:tr>
      <w:tr w:rsidR="006B5C60" w:rsidRPr="006A4950" w14:paraId="5D21D715" w14:textId="77777777" w:rsidTr="006B5C60">
        <w:trPr>
          <w:jc w:val="center"/>
        </w:trPr>
        <w:tc>
          <w:tcPr>
            <w:tcW w:w="1248" w:type="dxa"/>
            <w:tcBorders>
              <w:top w:val="single" w:sz="4" w:space="0" w:color="auto"/>
              <w:left w:val="single" w:sz="4" w:space="0" w:color="auto"/>
              <w:bottom w:val="single" w:sz="4" w:space="0" w:color="auto"/>
              <w:right w:val="single" w:sz="4" w:space="0" w:color="auto"/>
            </w:tcBorders>
            <w:hideMark/>
          </w:tcPr>
          <w:p w14:paraId="68F4FD4E" w14:textId="03B81097" w:rsidR="006B5C60" w:rsidRDefault="006B5C60">
            <w:r>
              <w:t>9.1.8</w:t>
            </w:r>
          </w:p>
        </w:tc>
        <w:tc>
          <w:tcPr>
            <w:tcW w:w="2073" w:type="dxa"/>
            <w:tcBorders>
              <w:top w:val="single" w:sz="4" w:space="0" w:color="auto"/>
              <w:left w:val="single" w:sz="4" w:space="0" w:color="auto"/>
              <w:bottom w:val="single" w:sz="4" w:space="0" w:color="auto"/>
              <w:right w:val="single" w:sz="4" w:space="0" w:color="auto"/>
            </w:tcBorders>
            <w:hideMark/>
          </w:tcPr>
          <w:p w14:paraId="19A67C2B" w14:textId="77777777" w:rsidR="006B5C60" w:rsidRDefault="006B5C60">
            <w:r>
              <w:t>Power headroom</w:t>
            </w:r>
          </w:p>
        </w:tc>
        <w:tc>
          <w:tcPr>
            <w:tcW w:w="4968" w:type="dxa"/>
            <w:tcBorders>
              <w:top w:val="single" w:sz="4" w:space="0" w:color="auto"/>
              <w:left w:val="single" w:sz="4" w:space="0" w:color="auto"/>
              <w:bottom w:val="single" w:sz="4" w:space="0" w:color="auto"/>
              <w:right w:val="single" w:sz="4" w:space="0" w:color="auto"/>
            </w:tcBorders>
            <w:hideMark/>
          </w:tcPr>
          <w:p w14:paraId="22F64781" w14:textId="77777777" w:rsidR="006B5C60" w:rsidRDefault="006B5C60">
            <w:r>
              <w:t>Investigate estimation period and report mapping for PHR Depending on RAN1</w:t>
            </w:r>
          </w:p>
        </w:tc>
      </w:tr>
      <w:tr w:rsidR="006B5C60" w:rsidRPr="006A4950" w14:paraId="1E04DB6B" w14:textId="77777777" w:rsidTr="006B5C60">
        <w:trPr>
          <w:jc w:val="center"/>
        </w:trPr>
        <w:tc>
          <w:tcPr>
            <w:tcW w:w="1248" w:type="dxa"/>
            <w:tcBorders>
              <w:top w:val="single" w:sz="4" w:space="0" w:color="auto"/>
              <w:left w:val="single" w:sz="4" w:space="0" w:color="auto"/>
              <w:bottom w:val="single" w:sz="4" w:space="0" w:color="auto"/>
              <w:right w:val="single" w:sz="4" w:space="0" w:color="auto"/>
            </w:tcBorders>
            <w:hideMark/>
          </w:tcPr>
          <w:p w14:paraId="76453BCF" w14:textId="771D0721" w:rsidR="006B5C60" w:rsidRDefault="006B5C60">
            <w:r>
              <w:t>8.1.2.2.3.1,</w:t>
            </w:r>
          </w:p>
          <w:p w14:paraId="591465B7" w14:textId="77777777" w:rsidR="006B5C60" w:rsidRDefault="006B5C60">
            <w:r>
              <w:t>8.1.2.2.4.1,</w:t>
            </w:r>
          </w:p>
          <w:p w14:paraId="7E8EFE82" w14:textId="77777777" w:rsidR="006B5C60" w:rsidRDefault="006B5C60">
            <w:r>
              <w:t>8.1.2.3.5.1,</w:t>
            </w:r>
          </w:p>
          <w:p w14:paraId="4EC6CA0C" w14:textId="77777777" w:rsidR="006B5C60" w:rsidRDefault="006B5C60">
            <w:r>
              <w:t>8.1.2.3.6.1</w:t>
            </w:r>
          </w:p>
        </w:tc>
        <w:tc>
          <w:tcPr>
            <w:tcW w:w="2073" w:type="dxa"/>
            <w:tcBorders>
              <w:top w:val="single" w:sz="4" w:space="0" w:color="auto"/>
              <w:left w:val="single" w:sz="4" w:space="0" w:color="auto"/>
              <w:bottom w:val="single" w:sz="4" w:space="0" w:color="auto"/>
              <w:right w:val="single" w:sz="4" w:space="0" w:color="auto"/>
            </w:tcBorders>
          </w:tcPr>
          <w:p w14:paraId="3B41FBE9" w14:textId="77777777" w:rsidR="006B5C60" w:rsidRDefault="006B5C60">
            <w:r>
              <w:t>Identification of a new CGI of E-UTRA cell with autonomous gaps</w:t>
            </w:r>
          </w:p>
          <w:p w14:paraId="6D69F368" w14:textId="77777777" w:rsidR="006B5C60" w:rsidRDefault="006B5C60"/>
        </w:tc>
        <w:tc>
          <w:tcPr>
            <w:tcW w:w="4968" w:type="dxa"/>
            <w:tcBorders>
              <w:top w:val="single" w:sz="4" w:space="0" w:color="auto"/>
              <w:left w:val="single" w:sz="4" w:space="0" w:color="auto"/>
              <w:bottom w:val="single" w:sz="4" w:space="0" w:color="auto"/>
              <w:right w:val="single" w:sz="4" w:space="0" w:color="auto"/>
            </w:tcBorders>
            <w:hideMark/>
          </w:tcPr>
          <w:p w14:paraId="14ABCDDA" w14:textId="77777777" w:rsidR="006B5C60" w:rsidRDefault="006B5C60">
            <w:pPr>
              <w:rPr>
                <w:lang w:eastAsia="zh-CN"/>
              </w:rPr>
            </w:pPr>
            <w:r>
              <w:rPr>
                <w:lang w:eastAsia="zh-CN"/>
              </w:rPr>
              <w:t xml:space="preserve">Whether </w:t>
            </w:r>
            <w:r>
              <w:t xml:space="preserve">ACK/NACK requirement </w:t>
            </w:r>
            <w:proofErr w:type="spellStart"/>
            <w:r>
              <w:rPr>
                <w:lang w:eastAsia="zh-CN"/>
              </w:rPr>
              <w:t>shall</w:t>
            </w:r>
            <w:r>
              <w:t>be</w:t>
            </w:r>
            <w:proofErr w:type="spellEnd"/>
            <w:r>
              <w:t xml:space="preserve"> recalculated considering </w:t>
            </w:r>
            <w:proofErr w:type="spellStart"/>
            <w:r>
              <w:t>sTTI</w:t>
            </w:r>
            <w:proofErr w:type="spellEnd"/>
            <w:r>
              <w:t xml:space="preserve"> including different </w:t>
            </w:r>
            <w:proofErr w:type="spellStart"/>
            <w:r>
              <w:t>sTTI</w:t>
            </w:r>
            <w:proofErr w:type="spellEnd"/>
            <w:r>
              <w:t xml:space="preserve"> length on UL and DL</w:t>
            </w:r>
            <w:r>
              <w:rPr>
                <w:lang w:eastAsia="zh-CN"/>
              </w:rPr>
              <w:t xml:space="preserve"> is under discussion.</w:t>
            </w:r>
          </w:p>
        </w:tc>
      </w:tr>
      <w:tr w:rsidR="006B5C60" w:rsidRPr="006A4950" w14:paraId="4BF8A692" w14:textId="77777777" w:rsidTr="006B5C60">
        <w:trPr>
          <w:jc w:val="center"/>
        </w:trPr>
        <w:tc>
          <w:tcPr>
            <w:tcW w:w="1248" w:type="dxa"/>
            <w:tcBorders>
              <w:top w:val="single" w:sz="4" w:space="0" w:color="auto"/>
              <w:left w:val="single" w:sz="4" w:space="0" w:color="auto"/>
              <w:bottom w:val="single" w:sz="4" w:space="0" w:color="auto"/>
              <w:right w:val="single" w:sz="4" w:space="0" w:color="auto"/>
            </w:tcBorders>
            <w:hideMark/>
          </w:tcPr>
          <w:p w14:paraId="3B626CB1" w14:textId="48B6C452" w:rsidR="006B5C60" w:rsidRDefault="006B5C60">
            <w:r>
              <w:lastRenderedPageBreak/>
              <w:t>7.16.3</w:t>
            </w:r>
          </w:p>
        </w:tc>
        <w:tc>
          <w:tcPr>
            <w:tcW w:w="2073" w:type="dxa"/>
            <w:tcBorders>
              <w:top w:val="single" w:sz="4" w:space="0" w:color="auto"/>
              <w:left w:val="single" w:sz="4" w:space="0" w:color="auto"/>
              <w:bottom w:val="single" w:sz="4" w:space="0" w:color="auto"/>
              <w:right w:val="single" w:sz="4" w:space="0" w:color="auto"/>
            </w:tcBorders>
            <w:hideMark/>
          </w:tcPr>
          <w:p w14:paraId="49F08D74" w14:textId="77777777" w:rsidR="006B5C60" w:rsidRDefault="006B5C60">
            <w:r>
              <w:t xml:space="preserve">Interruptions with </w:t>
            </w:r>
            <w:proofErr w:type="spellStart"/>
            <w:r>
              <w:t>ProSe</w:t>
            </w:r>
            <w:proofErr w:type="spellEnd"/>
          </w:p>
        </w:tc>
        <w:tc>
          <w:tcPr>
            <w:tcW w:w="4968" w:type="dxa"/>
            <w:tcBorders>
              <w:top w:val="single" w:sz="4" w:space="0" w:color="auto"/>
              <w:left w:val="single" w:sz="4" w:space="0" w:color="auto"/>
              <w:bottom w:val="single" w:sz="4" w:space="0" w:color="auto"/>
              <w:right w:val="single" w:sz="4" w:space="0" w:color="auto"/>
            </w:tcBorders>
            <w:hideMark/>
          </w:tcPr>
          <w:p w14:paraId="2C6F7C19" w14:textId="77777777" w:rsidR="006B5C60" w:rsidRDefault="006B5C60">
            <w:r>
              <w:t xml:space="preserve">Interruption and ACK/NACK requirements to be recalculated considering </w:t>
            </w:r>
            <w:proofErr w:type="spellStart"/>
            <w:r>
              <w:t>sTTI</w:t>
            </w:r>
            <w:proofErr w:type="spellEnd"/>
            <w:r>
              <w:t xml:space="preserve"> including different </w:t>
            </w:r>
            <w:proofErr w:type="spellStart"/>
            <w:r>
              <w:t>sTTI</w:t>
            </w:r>
            <w:proofErr w:type="spellEnd"/>
            <w:r>
              <w:t xml:space="preserve"> length on UL and DL</w:t>
            </w:r>
          </w:p>
        </w:tc>
      </w:tr>
      <w:tr w:rsidR="006B5C60" w:rsidRPr="006A4950" w14:paraId="7600697C" w14:textId="77777777" w:rsidTr="006B5C60">
        <w:trPr>
          <w:jc w:val="center"/>
        </w:trPr>
        <w:tc>
          <w:tcPr>
            <w:tcW w:w="1248" w:type="dxa"/>
            <w:tcBorders>
              <w:top w:val="single" w:sz="4" w:space="0" w:color="auto"/>
              <w:left w:val="single" w:sz="4" w:space="0" w:color="auto"/>
              <w:bottom w:val="single" w:sz="4" w:space="0" w:color="auto"/>
              <w:right w:val="single" w:sz="4" w:space="0" w:color="auto"/>
            </w:tcBorders>
            <w:hideMark/>
          </w:tcPr>
          <w:p w14:paraId="1D1B0090" w14:textId="72B4D5C0" w:rsidR="006B5C60" w:rsidRDefault="006B5C60">
            <w:r>
              <w:t>8.x</w:t>
            </w:r>
          </w:p>
        </w:tc>
        <w:tc>
          <w:tcPr>
            <w:tcW w:w="2073" w:type="dxa"/>
            <w:tcBorders>
              <w:top w:val="single" w:sz="4" w:space="0" w:color="auto"/>
              <w:left w:val="single" w:sz="4" w:space="0" w:color="auto"/>
              <w:bottom w:val="single" w:sz="4" w:space="0" w:color="auto"/>
              <w:right w:val="single" w:sz="4" w:space="0" w:color="auto"/>
            </w:tcBorders>
            <w:hideMark/>
          </w:tcPr>
          <w:p w14:paraId="2FF15FC4" w14:textId="77777777" w:rsidR="006B5C60" w:rsidRDefault="006B5C60">
            <w:r>
              <w:t>Measurement reporting delay</w:t>
            </w:r>
          </w:p>
        </w:tc>
        <w:tc>
          <w:tcPr>
            <w:tcW w:w="4968" w:type="dxa"/>
            <w:tcBorders>
              <w:top w:val="single" w:sz="4" w:space="0" w:color="auto"/>
              <w:left w:val="single" w:sz="4" w:space="0" w:color="auto"/>
              <w:bottom w:val="single" w:sz="4" w:space="0" w:color="auto"/>
              <w:right w:val="single" w:sz="4" w:space="0" w:color="auto"/>
            </w:tcBorders>
            <w:hideMark/>
          </w:tcPr>
          <w:p w14:paraId="59F3B8AB" w14:textId="77777777" w:rsidR="006B5C60" w:rsidRDefault="006B5C60">
            <w:r>
              <w:t>Change/clarify delay uncertainty 2 x TTI</w:t>
            </w:r>
            <w:r>
              <w:rPr>
                <w:vertAlign w:val="subscript"/>
              </w:rPr>
              <w:t>DCCH</w:t>
            </w:r>
          </w:p>
        </w:tc>
      </w:tr>
      <w:tr w:rsidR="006B5C60" w:rsidRPr="006A4950" w14:paraId="02995C8D" w14:textId="77777777" w:rsidTr="006B5C60">
        <w:trPr>
          <w:jc w:val="center"/>
        </w:trPr>
        <w:tc>
          <w:tcPr>
            <w:tcW w:w="1248" w:type="dxa"/>
            <w:tcBorders>
              <w:top w:val="single" w:sz="4" w:space="0" w:color="auto"/>
              <w:left w:val="single" w:sz="4" w:space="0" w:color="auto"/>
              <w:bottom w:val="single" w:sz="4" w:space="0" w:color="auto"/>
              <w:right w:val="single" w:sz="4" w:space="0" w:color="auto"/>
            </w:tcBorders>
            <w:hideMark/>
          </w:tcPr>
          <w:p w14:paraId="08DBB36F" w14:textId="263A6E99" w:rsidR="006B5C60" w:rsidRDefault="006B5C60">
            <w:r>
              <w:t>7.9</w:t>
            </w:r>
          </w:p>
        </w:tc>
        <w:tc>
          <w:tcPr>
            <w:tcW w:w="2073" w:type="dxa"/>
            <w:tcBorders>
              <w:top w:val="single" w:sz="4" w:space="0" w:color="auto"/>
              <w:left w:val="single" w:sz="4" w:space="0" w:color="auto"/>
              <w:bottom w:val="single" w:sz="4" w:space="0" w:color="auto"/>
              <w:right w:val="single" w:sz="4" w:space="0" w:color="auto"/>
            </w:tcBorders>
            <w:hideMark/>
          </w:tcPr>
          <w:p w14:paraId="6F7F66B0" w14:textId="77777777" w:rsidR="006B5C60" w:rsidRDefault="006B5C60">
            <w:r>
              <w:t>Maximum Transmission Timing Difference in Carrier Aggregation</w:t>
            </w:r>
          </w:p>
        </w:tc>
        <w:tc>
          <w:tcPr>
            <w:tcW w:w="4968" w:type="dxa"/>
            <w:tcBorders>
              <w:top w:val="single" w:sz="4" w:space="0" w:color="auto"/>
              <w:left w:val="single" w:sz="4" w:space="0" w:color="auto"/>
              <w:bottom w:val="single" w:sz="4" w:space="0" w:color="auto"/>
              <w:right w:val="single" w:sz="4" w:space="0" w:color="auto"/>
            </w:tcBorders>
            <w:hideMark/>
          </w:tcPr>
          <w:p w14:paraId="05936514" w14:textId="77777777" w:rsidR="006B5C60" w:rsidRDefault="006B5C60">
            <w:proofErr w:type="spellStart"/>
            <w:r>
              <w:t>Investgate</w:t>
            </w:r>
            <w:proofErr w:type="spellEnd"/>
            <w:r>
              <w:t xml:space="preserve"> possible power control issues due to time difference between pTAG and sTAG being a larger proportion of an </w:t>
            </w:r>
            <w:proofErr w:type="spellStart"/>
            <w:r>
              <w:t>sTTI</w:t>
            </w:r>
            <w:proofErr w:type="spellEnd"/>
          </w:p>
        </w:tc>
      </w:tr>
    </w:tbl>
    <w:p w14:paraId="7E4D100A" w14:textId="1F846C81" w:rsidR="006A4950" w:rsidRDefault="006A4950">
      <w:pPr>
        <w:overflowPunct/>
        <w:autoSpaceDE/>
        <w:autoSpaceDN/>
        <w:adjustRightInd/>
        <w:spacing w:after="160" w:line="259" w:lineRule="auto"/>
        <w:rPr>
          <w:szCs w:val="21"/>
          <w:u w:val="single"/>
        </w:rPr>
      </w:pPr>
    </w:p>
    <w:p w14:paraId="33A6F19B" w14:textId="3B61BCD6" w:rsidR="006A4950" w:rsidRDefault="006A4950">
      <w:pPr>
        <w:overflowPunct/>
        <w:autoSpaceDE/>
        <w:autoSpaceDN/>
        <w:adjustRightInd/>
        <w:spacing w:after="160" w:line="259" w:lineRule="auto"/>
        <w:rPr>
          <w:szCs w:val="21"/>
          <w:u w:val="single"/>
        </w:rPr>
      </w:pPr>
      <w:r>
        <w:rPr>
          <w:szCs w:val="21"/>
          <w:u w:val="single"/>
        </w:rPr>
        <w:t>TA adjustment delay</w:t>
      </w:r>
    </w:p>
    <w:p w14:paraId="20139CC1" w14:textId="0BE3FF21" w:rsidR="00014F94" w:rsidRPr="00765D29" w:rsidRDefault="006B5C60">
      <w:pPr>
        <w:overflowPunct/>
        <w:autoSpaceDE/>
        <w:autoSpaceDN/>
        <w:adjustRightInd/>
        <w:spacing w:after="160" w:line="259" w:lineRule="auto"/>
        <w:rPr>
          <w:szCs w:val="21"/>
        </w:rPr>
      </w:pPr>
      <w:r>
        <w:rPr>
          <w:szCs w:val="21"/>
        </w:rPr>
        <w:t>Possible c</w:t>
      </w:r>
      <w:r w:rsidR="00014F94">
        <w:rPr>
          <w:szCs w:val="21"/>
        </w:rPr>
        <w:t xml:space="preserve">hanges in TA adjustment delay were discussed in the last meeting, considering RAN1 </w:t>
      </w:r>
      <w:r w:rsidR="00765D29">
        <w:rPr>
          <w:szCs w:val="21"/>
        </w:rPr>
        <w:t xml:space="preserve">discussion </w:t>
      </w:r>
      <w:r w:rsidR="00014F94">
        <w:rPr>
          <w:szCs w:val="21"/>
        </w:rPr>
        <w:t xml:space="preserve">about </w:t>
      </w:r>
      <w:r w:rsidR="00765D29">
        <w:rPr>
          <w:szCs w:val="21"/>
        </w:rPr>
        <w:t xml:space="preserve">reduced </w:t>
      </w:r>
      <w:r w:rsidR="00014F94">
        <w:rPr>
          <w:szCs w:val="21"/>
        </w:rPr>
        <w:t>HARQ t</w:t>
      </w:r>
      <w:r w:rsidR="00765D29">
        <w:rPr>
          <w:szCs w:val="21"/>
        </w:rPr>
        <w:t>iming and maximum TA within the short TTI work item. Furthermore, the p</w:t>
      </w:r>
      <w:r w:rsidR="00014F94">
        <w:rPr>
          <w:szCs w:val="21"/>
        </w:rPr>
        <w:t xml:space="preserve">ossibility to </w:t>
      </w:r>
      <w:r w:rsidR="00765D29">
        <w:rPr>
          <w:szCs w:val="21"/>
        </w:rPr>
        <w:t>tighten the 2 ms extra margin within</w:t>
      </w:r>
      <w:r w:rsidR="00014F94">
        <w:rPr>
          <w:szCs w:val="21"/>
        </w:rPr>
        <w:t xml:space="preserve"> the TA adjustment delay</w:t>
      </w:r>
      <w:r w:rsidR="00765D29">
        <w:rPr>
          <w:szCs w:val="21"/>
        </w:rPr>
        <w:t xml:space="preserve"> was discussed. Shortening the TA adjustment delay depends on RAN1 agreements, and should be based on the gain that can be obtained in UL performance </w:t>
      </w:r>
      <w:r>
        <w:rPr>
          <w:szCs w:val="21"/>
        </w:rPr>
        <w:t xml:space="preserve">if the requirement is tightened, </w:t>
      </w:r>
      <w:r w:rsidR="00765D29">
        <w:rPr>
          <w:szCs w:val="21"/>
        </w:rPr>
        <w:t xml:space="preserve">and the complexity of defining different TA adjustment delay requirements with different TTI lengths. However, the discussion in RAN4 is up to the agreements in RAN1, and RAN4 shall </w:t>
      </w:r>
      <w:r w:rsidR="00CB5C15">
        <w:rPr>
          <w:szCs w:val="21"/>
        </w:rPr>
        <w:t>make the agreements</w:t>
      </w:r>
      <w:r w:rsidR="00765D29">
        <w:rPr>
          <w:szCs w:val="21"/>
        </w:rPr>
        <w:t xml:space="preserve"> based on that.</w:t>
      </w:r>
    </w:p>
    <w:p w14:paraId="5DF017AA" w14:textId="752FA550" w:rsidR="006A4950" w:rsidRDefault="006A4950">
      <w:pPr>
        <w:overflowPunct/>
        <w:autoSpaceDE/>
        <w:autoSpaceDN/>
        <w:adjustRightInd/>
        <w:spacing w:after="160" w:line="259" w:lineRule="auto"/>
        <w:rPr>
          <w:szCs w:val="21"/>
          <w:u w:val="single"/>
        </w:rPr>
      </w:pPr>
      <w:r>
        <w:rPr>
          <w:szCs w:val="21"/>
          <w:u w:val="single"/>
        </w:rPr>
        <w:t>SCell activation and deactivation</w:t>
      </w:r>
    </w:p>
    <w:p w14:paraId="3FE5DE01" w14:textId="72AF35E3" w:rsidR="00F45B7C" w:rsidRDefault="00F45B7C">
      <w:pPr>
        <w:overflowPunct/>
        <w:autoSpaceDE/>
        <w:autoSpaceDN/>
        <w:adjustRightInd/>
        <w:spacing w:after="160" w:line="259" w:lineRule="auto"/>
        <w:rPr>
          <w:szCs w:val="21"/>
        </w:rPr>
      </w:pPr>
      <w:r>
        <w:rPr>
          <w:szCs w:val="21"/>
        </w:rPr>
        <w:t xml:space="preserve">In the last meeting, it was proposed by multiple companies that SCell activation delay requirements could be tightened due to shortened </w:t>
      </w:r>
      <w:r w:rsidRPr="00F45B7C">
        <w:rPr>
          <w:szCs w:val="21"/>
        </w:rPr>
        <w:t xml:space="preserve">HARQ processing time </w:t>
      </w:r>
      <w:r>
        <w:rPr>
          <w:szCs w:val="21"/>
        </w:rPr>
        <w:t>and CQI reporting delay. It was proposed that the current requirement of CQI transmission latest in subframe n+24 for known cell and n+34 for unknown cell would be tightened with 1 or 2 subframes.</w:t>
      </w:r>
    </w:p>
    <w:p w14:paraId="46B32D3E" w14:textId="034330F4" w:rsidR="00F45B7C" w:rsidRPr="00F45B7C" w:rsidRDefault="00F45B7C">
      <w:pPr>
        <w:overflowPunct/>
        <w:autoSpaceDE/>
        <w:autoSpaceDN/>
        <w:adjustRightInd/>
        <w:spacing w:after="160" w:line="259" w:lineRule="auto"/>
        <w:rPr>
          <w:szCs w:val="21"/>
        </w:rPr>
      </w:pPr>
      <w:r>
        <w:rPr>
          <w:szCs w:val="21"/>
        </w:rPr>
        <w:t xml:space="preserve">We agree that there is a possibility to tighten the requirement </w:t>
      </w:r>
      <w:r w:rsidR="00472596">
        <w:rPr>
          <w:szCs w:val="21"/>
        </w:rPr>
        <w:t xml:space="preserve">due to </w:t>
      </w:r>
      <w:r w:rsidR="00CB5C15">
        <w:rPr>
          <w:szCs w:val="21"/>
        </w:rPr>
        <w:t>reduced</w:t>
      </w:r>
      <w:r w:rsidR="00472596">
        <w:rPr>
          <w:szCs w:val="21"/>
        </w:rPr>
        <w:t xml:space="preserve"> processing time. However, it should be noted that</w:t>
      </w:r>
      <w:r w:rsidR="00765D29">
        <w:rPr>
          <w:szCs w:val="21"/>
        </w:rPr>
        <w:t>, based on the discussion in RAN1,</w:t>
      </w:r>
      <w:r w:rsidR="00472596">
        <w:rPr>
          <w:szCs w:val="21"/>
        </w:rPr>
        <w:t xml:space="preserve"> </w:t>
      </w:r>
      <w:r w:rsidR="00765D29">
        <w:rPr>
          <w:szCs w:val="21"/>
        </w:rPr>
        <w:t xml:space="preserve">it is possible that the </w:t>
      </w:r>
      <w:r w:rsidR="00472596">
        <w:rPr>
          <w:szCs w:val="21"/>
        </w:rPr>
        <w:t>UE may be configured with both short TTI and normal length TTI carriers. In such situation</w:t>
      </w:r>
      <w:r w:rsidR="00CB5C15">
        <w:rPr>
          <w:szCs w:val="21"/>
        </w:rPr>
        <w:t>,</w:t>
      </w:r>
      <w:r w:rsidR="00472596">
        <w:rPr>
          <w:szCs w:val="21"/>
        </w:rPr>
        <w:t xml:space="preserve"> activation delay requirement for different carriers would also be different. It should be discussed whether the gain of 1 or 2 subframe improvement in activation delay time would be worth complicating the UE o</w:t>
      </w:r>
      <w:r w:rsidR="005E3498">
        <w:rPr>
          <w:szCs w:val="21"/>
        </w:rPr>
        <w:t>peration with multiple carriers, in case different TTI lengths on different carriers are supported.</w:t>
      </w:r>
    </w:p>
    <w:p w14:paraId="356E54A5" w14:textId="172E93A5" w:rsidR="006A4950" w:rsidRDefault="006A4950">
      <w:pPr>
        <w:overflowPunct/>
        <w:autoSpaceDE/>
        <w:autoSpaceDN/>
        <w:adjustRightInd/>
        <w:spacing w:after="160" w:line="259" w:lineRule="auto"/>
        <w:rPr>
          <w:szCs w:val="21"/>
          <w:u w:val="single"/>
        </w:rPr>
      </w:pPr>
      <w:r>
        <w:rPr>
          <w:szCs w:val="21"/>
          <w:u w:val="single"/>
        </w:rPr>
        <w:t>Power headroom</w:t>
      </w:r>
    </w:p>
    <w:p w14:paraId="3FCCF7B1" w14:textId="33C71D6C" w:rsidR="00D9252E" w:rsidRDefault="006C7567">
      <w:pPr>
        <w:overflowPunct/>
        <w:autoSpaceDE/>
        <w:autoSpaceDN/>
        <w:adjustRightInd/>
        <w:spacing w:after="160" w:line="259" w:lineRule="auto"/>
        <w:rPr>
          <w:szCs w:val="21"/>
        </w:rPr>
      </w:pPr>
      <w:r>
        <w:rPr>
          <w:szCs w:val="21"/>
        </w:rPr>
        <w:t>In the last meeting</w:t>
      </w:r>
      <w:r w:rsidR="00D9252E">
        <w:rPr>
          <w:szCs w:val="21"/>
        </w:rPr>
        <w:t>,</w:t>
      </w:r>
      <w:r>
        <w:rPr>
          <w:szCs w:val="21"/>
        </w:rPr>
        <w:t xml:space="preserve"> it was discussed that power headroom estimation period, which is currently defined as 1 subframe in RAN4 specifications, should be updated. With normal TTI length, estimation over 1 subframe means estimation over the whole TTI, but in short TTI operation, one subframe contains multiple short TTIs</w:t>
      </w:r>
      <w:r w:rsidR="00D9252E">
        <w:rPr>
          <w:szCs w:val="21"/>
        </w:rPr>
        <w:t xml:space="preserve"> of the length of 2 symbols</w:t>
      </w:r>
      <w:r>
        <w:rPr>
          <w:szCs w:val="21"/>
        </w:rPr>
        <w:t xml:space="preserve">. It would make sense that the estimation would be done over one short TTI, and thus the requirement of 1 subframe estimation period would need to be updated. </w:t>
      </w:r>
    </w:p>
    <w:p w14:paraId="70E2DDA1" w14:textId="4C3A019C" w:rsidR="00CC0BDC" w:rsidRPr="00CC0BDC" w:rsidRDefault="006C7567">
      <w:pPr>
        <w:overflowPunct/>
        <w:autoSpaceDE/>
        <w:autoSpaceDN/>
        <w:adjustRightInd/>
        <w:spacing w:after="160" w:line="259" w:lineRule="auto"/>
        <w:rPr>
          <w:szCs w:val="21"/>
        </w:rPr>
      </w:pPr>
      <w:r>
        <w:rPr>
          <w:szCs w:val="21"/>
        </w:rPr>
        <w:t xml:space="preserve">However, power headroom estimation in context of carrier aggregation may complicate things, in case different carriers support different TTI lengths. </w:t>
      </w:r>
      <w:r w:rsidR="00CB5C15">
        <w:rPr>
          <w:szCs w:val="21"/>
        </w:rPr>
        <w:t xml:space="preserve">Hence, </w:t>
      </w:r>
      <w:r>
        <w:rPr>
          <w:szCs w:val="21"/>
        </w:rPr>
        <w:t>RAN4 should wait for RAN1 agreement on the support of different TTI lengths on different carriers.</w:t>
      </w:r>
    </w:p>
    <w:p w14:paraId="4DDE2C0F" w14:textId="5C1571DC" w:rsidR="006A4950" w:rsidRDefault="006A4950">
      <w:pPr>
        <w:overflowPunct/>
        <w:autoSpaceDE/>
        <w:autoSpaceDN/>
        <w:adjustRightInd/>
        <w:spacing w:after="160" w:line="259" w:lineRule="auto"/>
        <w:rPr>
          <w:szCs w:val="21"/>
          <w:u w:val="single"/>
        </w:rPr>
      </w:pPr>
      <w:r>
        <w:rPr>
          <w:szCs w:val="21"/>
          <w:u w:val="single"/>
        </w:rPr>
        <w:t>Interruptions</w:t>
      </w:r>
    </w:p>
    <w:p w14:paraId="3DBDFEE8" w14:textId="5185BD67" w:rsidR="0019564F" w:rsidRDefault="0019564F">
      <w:pPr>
        <w:overflowPunct/>
        <w:autoSpaceDE/>
        <w:autoSpaceDN/>
        <w:adjustRightInd/>
        <w:spacing w:after="160" w:line="259" w:lineRule="auto"/>
        <w:rPr>
          <w:szCs w:val="21"/>
        </w:rPr>
      </w:pPr>
      <w:r>
        <w:rPr>
          <w:szCs w:val="21"/>
        </w:rPr>
        <w:t xml:space="preserve">Interruptions with shortened TTI length were discussed in the last meeting based on [3]. The discussion was about interruptions in carrier aggregation, CGI with autonomous gaps and </w:t>
      </w:r>
      <w:proofErr w:type="spellStart"/>
      <w:r>
        <w:rPr>
          <w:szCs w:val="21"/>
        </w:rPr>
        <w:t>ProSe</w:t>
      </w:r>
      <w:proofErr w:type="spellEnd"/>
      <w:r>
        <w:rPr>
          <w:szCs w:val="21"/>
        </w:rPr>
        <w:t xml:space="preserve">. </w:t>
      </w:r>
    </w:p>
    <w:p w14:paraId="190F9F62" w14:textId="63B2BC29" w:rsidR="0019564F" w:rsidRDefault="005E3498">
      <w:pPr>
        <w:overflowPunct/>
        <w:autoSpaceDE/>
        <w:autoSpaceDN/>
        <w:adjustRightInd/>
        <w:spacing w:after="160" w:line="259" w:lineRule="auto"/>
        <w:rPr>
          <w:szCs w:val="21"/>
        </w:rPr>
      </w:pPr>
      <w:r>
        <w:rPr>
          <w:szCs w:val="21"/>
        </w:rPr>
        <w:t>In our view</w:t>
      </w:r>
      <w:r w:rsidR="0019564F">
        <w:rPr>
          <w:szCs w:val="21"/>
        </w:rPr>
        <w:t xml:space="preserve"> the interruption requirements as defined </w:t>
      </w:r>
      <w:r>
        <w:rPr>
          <w:szCs w:val="21"/>
        </w:rPr>
        <w:t xml:space="preserve">for normal TTI length </w:t>
      </w:r>
      <w:r w:rsidR="0019564F">
        <w:rPr>
          <w:szCs w:val="21"/>
        </w:rPr>
        <w:t>could be reused with</w:t>
      </w:r>
      <w:r>
        <w:rPr>
          <w:szCs w:val="21"/>
        </w:rPr>
        <w:t xml:space="preserve"> short TTI</w:t>
      </w:r>
      <w:r w:rsidR="0019564F">
        <w:rPr>
          <w:szCs w:val="21"/>
        </w:rPr>
        <w:t xml:space="preserve">, but it could also be beneficial to consider </w:t>
      </w:r>
      <w:r>
        <w:rPr>
          <w:szCs w:val="21"/>
        </w:rPr>
        <w:t>shortened interruption length, as it can save some usable resources, when TTI length is shortened</w:t>
      </w:r>
      <w:r w:rsidR="0019564F">
        <w:rPr>
          <w:szCs w:val="21"/>
        </w:rPr>
        <w:t xml:space="preserve">. Here we see two options, mainly considering interruptions in carrier aggregation and </w:t>
      </w:r>
      <w:proofErr w:type="spellStart"/>
      <w:r w:rsidR="0019564F">
        <w:rPr>
          <w:szCs w:val="21"/>
        </w:rPr>
        <w:lastRenderedPageBreak/>
        <w:t>ProSe</w:t>
      </w:r>
      <w:proofErr w:type="spellEnd"/>
      <w:r w:rsidR="0019564F">
        <w:rPr>
          <w:szCs w:val="21"/>
        </w:rPr>
        <w:t xml:space="preserve">. One option would be to consider smaller granularity of interruption based on UE capability. Another option could be to consider defining minimum requirements for interruptions in RAN4, like was done in </w:t>
      </w:r>
      <w:r w:rsidR="00CB5C15">
        <w:rPr>
          <w:szCs w:val="21"/>
        </w:rPr>
        <w:t xml:space="preserve">the </w:t>
      </w:r>
      <w:proofErr w:type="spellStart"/>
      <w:r w:rsidR="0019564F">
        <w:rPr>
          <w:szCs w:val="21"/>
        </w:rPr>
        <w:t>eMTC</w:t>
      </w:r>
      <w:proofErr w:type="spellEnd"/>
      <w:r w:rsidR="0019564F">
        <w:rPr>
          <w:szCs w:val="21"/>
        </w:rPr>
        <w:t xml:space="preserve"> work item. RAN4 should discuss the possible</w:t>
      </w:r>
      <w:r w:rsidR="0044093A">
        <w:rPr>
          <w:szCs w:val="21"/>
        </w:rPr>
        <w:t xml:space="preserve"> benefits of these options with the short TTI length.</w:t>
      </w:r>
    </w:p>
    <w:p w14:paraId="5D40C828" w14:textId="77777777" w:rsidR="005E3498" w:rsidRDefault="005E3498">
      <w:pPr>
        <w:overflowPunct/>
        <w:autoSpaceDE/>
        <w:autoSpaceDN/>
        <w:adjustRightInd/>
        <w:spacing w:after="160" w:line="259" w:lineRule="auto"/>
        <w:rPr>
          <w:b/>
          <w:color w:val="FF0000"/>
        </w:rPr>
      </w:pPr>
    </w:p>
    <w:p w14:paraId="56A12231" w14:textId="2B9A65D1" w:rsidR="003B20A5" w:rsidRDefault="006A4950">
      <w:pPr>
        <w:overflowPunct/>
        <w:autoSpaceDE/>
        <w:autoSpaceDN/>
        <w:adjustRightInd/>
        <w:spacing w:after="160" w:line="259" w:lineRule="auto"/>
        <w:rPr>
          <w:szCs w:val="21"/>
          <w:u w:val="single"/>
        </w:rPr>
      </w:pPr>
      <w:r>
        <w:rPr>
          <w:szCs w:val="21"/>
          <w:u w:val="single"/>
        </w:rPr>
        <w:t>Maximum Trans</w:t>
      </w:r>
      <w:r w:rsidR="006C7567">
        <w:rPr>
          <w:szCs w:val="21"/>
          <w:u w:val="single"/>
        </w:rPr>
        <w:t>mission Timing Difference in CA</w:t>
      </w:r>
    </w:p>
    <w:p w14:paraId="2DB03522" w14:textId="1CB10A2B" w:rsidR="006C7567" w:rsidRDefault="00593316">
      <w:pPr>
        <w:overflowPunct/>
        <w:autoSpaceDE/>
        <w:autoSpaceDN/>
        <w:adjustRightInd/>
        <w:spacing w:after="160" w:line="259" w:lineRule="auto"/>
        <w:rPr>
          <w:szCs w:val="21"/>
        </w:rPr>
      </w:pPr>
      <w:r>
        <w:rPr>
          <w:szCs w:val="21"/>
        </w:rPr>
        <w:t xml:space="preserve">In the current RAN4 specification, maximum transmission timing difference between pTAG and sTAG is defined as </w:t>
      </w:r>
      <w:r>
        <w:t>32.47µs</w:t>
      </w:r>
    </w:p>
    <w:p w14:paraId="22824E06" w14:textId="77777777" w:rsidR="00593316" w:rsidRPr="00593316" w:rsidRDefault="00593316" w:rsidP="00593316">
      <w:pPr>
        <w:ind w:left="568"/>
        <w:rPr>
          <w:sz w:val="18"/>
        </w:rPr>
      </w:pPr>
      <w:r w:rsidRPr="00593316">
        <w:rPr>
          <w:sz w:val="18"/>
        </w:rPr>
        <w:t>The UE shall be capable of handling a maximum uplink transmission timing difference between the pTAG and the sTAG of at least 32.47µs provided that the UE is:</w:t>
      </w:r>
    </w:p>
    <w:p w14:paraId="7BF7FA24" w14:textId="77777777" w:rsidR="00593316" w:rsidRPr="00593316" w:rsidRDefault="00593316" w:rsidP="00593316">
      <w:pPr>
        <w:pStyle w:val="B1"/>
        <w:ind w:left="1136"/>
        <w:rPr>
          <w:sz w:val="18"/>
        </w:rPr>
      </w:pPr>
      <w:r w:rsidRPr="00593316">
        <w:rPr>
          <w:sz w:val="18"/>
        </w:rPr>
        <w:t>-</w:t>
      </w:r>
      <w:r w:rsidRPr="00593316">
        <w:rPr>
          <w:sz w:val="18"/>
        </w:rPr>
        <w:tab/>
        <w:t>configured with intra-band non-contiguous CA and</w:t>
      </w:r>
    </w:p>
    <w:p w14:paraId="73443F98" w14:textId="77777777" w:rsidR="00593316" w:rsidRPr="00593316" w:rsidRDefault="00593316" w:rsidP="00593316">
      <w:pPr>
        <w:pStyle w:val="B1"/>
        <w:ind w:left="1136"/>
        <w:rPr>
          <w:sz w:val="20"/>
        </w:rPr>
      </w:pPr>
      <w:r w:rsidRPr="00593316">
        <w:rPr>
          <w:sz w:val="18"/>
        </w:rPr>
        <w:t>-</w:t>
      </w:r>
      <w:r w:rsidRPr="00593316">
        <w:rPr>
          <w:sz w:val="18"/>
        </w:rPr>
        <w:tab/>
        <w:t>configured with the pTAG and the sTAG,</w:t>
      </w:r>
    </w:p>
    <w:p w14:paraId="62E0A310" w14:textId="51473E0B" w:rsidR="00593316" w:rsidRPr="006C7567" w:rsidRDefault="00593316">
      <w:pPr>
        <w:overflowPunct/>
        <w:autoSpaceDE/>
        <w:autoSpaceDN/>
        <w:adjustRightInd/>
        <w:spacing w:after="160" w:line="259" w:lineRule="auto"/>
        <w:rPr>
          <w:szCs w:val="21"/>
        </w:rPr>
      </w:pPr>
      <w:r>
        <w:rPr>
          <w:szCs w:val="21"/>
        </w:rPr>
        <w:t xml:space="preserve">In the last two meetings, it has been pointed out that with short TTI operation, possible power control issues may occur, because the defined maximum transmission timing difference takes a larger part of the </w:t>
      </w:r>
      <w:r w:rsidR="00D9252E">
        <w:rPr>
          <w:szCs w:val="21"/>
        </w:rPr>
        <w:t xml:space="preserve">2 symbol length </w:t>
      </w:r>
      <w:r>
        <w:rPr>
          <w:szCs w:val="21"/>
        </w:rPr>
        <w:t>short TTI than it does for normal TTI.</w:t>
      </w:r>
      <w:r w:rsidR="00CB5C15">
        <w:rPr>
          <w:szCs w:val="21"/>
        </w:rPr>
        <w:t xml:space="preserve"> </w:t>
      </w:r>
      <w:r w:rsidR="005E3498">
        <w:rPr>
          <w:szCs w:val="21"/>
        </w:rPr>
        <w:t>This depends on RAN1 agreements about the supported timing difference and power control, and any possible changes in RAN4 should reflect to this.</w:t>
      </w:r>
    </w:p>
    <w:p w14:paraId="6A2F3074" w14:textId="77777777" w:rsidR="00B53ECC" w:rsidRDefault="00DE4B4E" w:rsidP="00B53ECC">
      <w:pPr>
        <w:pStyle w:val="Heading1"/>
        <w:numPr>
          <w:ilvl w:val="0"/>
          <w:numId w:val="1"/>
        </w:numPr>
      </w:pPr>
      <w:r w:rsidRPr="0021582F">
        <w:t>Summary</w:t>
      </w:r>
    </w:p>
    <w:p w14:paraId="1DC8FA34" w14:textId="2F7B7D4D" w:rsidR="004A4DFA" w:rsidRPr="004A4DFA" w:rsidRDefault="005E3498" w:rsidP="004A4DFA">
      <w:pPr>
        <w:rPr>
          <w:lang w:eastAsia="zh-CN"/>
        </w:rPr>
      </w:pPr>
      <w:r>
        <w:rPr>
          <w:lang w:eastAsia="zh-CN"/>
        </w:rPr>
        <w:t>In this contribution, we have discussed the possible RRM impacts due to the shortened processing time and TTI length in LTE, based on the way forward that was agreed in the Athens meeting. The discussion concentrated on possible changes in TA adjustment delay, SCell activation delay, power headroom, interruption and maximum transmission timing difference requirements</w:t>
      </w:r>
      <w:r w:rsidR="00815EBD">
        <w:rPr>
          <w:lang w:eastAsia="zh-CN"/>
        </w:rPr>
        <w:t>.</w:t>
      </w:r>
      <w:r w:rsidR="00CB5C15">
        <w:rPr>
          <w:lang w:eastAsia="zh-CN"/>
        </w:rPr>
        <w:t xml:space="preserve"> There is some room for improvement in these features with the shortened TTI length, but i</w:t>
      </w:r>
      <w:r>
        <w:rPr>
          <w:lang w:eastAsia="zh-CN"/>
        </w:rPr>
        <w:t xml:space="preserve">n many parts, the discussion in RAN4 </w:t>
      </w:r>
      <w:r w:rsidR="00815EBD">
        <w:rPr>
          <w:lang w:eastAsia="zh-CN"/>
        </w:rPr>
        <w:t xml:space="preserve">still </w:t>
      </w:r>
      <w:r>
        <w:rPr>
          <w:lang w:eastAsia="zh-CN"/>
        </w:rPr>
        <w:t>depends on the discussion and agreements in RAN1</w:t>
      </w:r>
      <w:r w:rsidR="00CB5C15">
        <w:rPr>
          <w:lang w:eastAsia="zh-CN"/>
        </w:rPr>
        <w:t>.</w:t>
      </w:r>
    </w:p>
    <w:p w14:paraId="7A048FFA" w14:textId="77777777" w:rsidR="00B53ECC" w:rsidRDefault="00B53ECC" w:rsidP="00B53ECC">
      <w:pPr>
        <w:pStyle w:val="Heading1"/>
        <w:numPr>
          <w:ilvl w:val="0"/>
          <w:numId w:val="0"/>
        </w:numPr>
        <w:ind w:left="431" w:hanging="431"/>
      </w:pPr>
      <w:r w:rsidRPr="007D7EEC">
        <w:t>References</w:t>
      </w:r>
    </w:p>
    <w:p w14:paraId="2AEF781D" w14:textId="1C8F4F24" w:rsidR="00734089" w:rsidRDefault="00254D50" w:rsidP="00254D50">
      <w:pPr>
        <w:overflowPunct/>
        <w:autoSpaceDE/>
        <w:autoSpaceDN/>
        <w:adjustRightInd/>
        <w:spacing w:after="160" w:line="259" w:lineRule="auto"/>
        <w:rPr>
          <w:szCs w:val="21"/>
        </w:rPr>
      </w:pPr>
      <w:r>
        <w:rPr>
          <w:szCs w:val="21"/>
        </w:rPr>
        <w:t xml:space="preserve">[1] </w:t>
      </w:r>
      <w:r w:rsidRPr="00254D50">
        <w:rPr>
          <w:szCs w:val="21"/>
        </w:rPr>
        <w:t>RP-161299</w:t>
      </w:r>
      <w:r>
        <w:rPr>
          <w:szCs w:val="21"/>
        </w:rPr>
        <w:t xml:space="preserve">, </w:t>
      </w:r>
      <w:r w:rsidRPr="00254D50">
        <w:rPr>
          <w:szCs w:val="21"/>
        </w:rPr>
        <w:t>New Work Item on shortened TTI and processing time for LTE</w:t>
      </w:r>
      <w:r>
        <w:rPr>
          <w:szCs w:val="21"/>
        </w:rPr>
        <w:t xml:space="preserve">, Ericsson, </w:t>
      </w:r>
      <w:r w:rsidRPr="00254D50">
        <w:rPr>
          <w:szCs w:val="21"/>
        </w:rPr>
        <w:t>3GP</w:t>
      </w:r>
      <w:r>
        <w:rPr>
          <w:szCs w:val="21"/>
        </w:rPr>
        <w:t>P TSG RAN Meeting #72, Busan, Korea, June</w:t>
      </w:r>
      <w:r w:rsidRPr="00254D50">
        <w:rPr>
          <w:szCs w:val="21"/>
        </w:rPr>
        <w:t>, 2016</w:t>
      </w:r>
      <w:r>
        <w:rPr>
          <w:szCs w:val="21"/>
        </w:rPr>
        <w:t>.</w:t>
      </w:r>
    </w:p>
    <w:p w14:paraId="66F561D0" w14:textId="2F82D19C" w:rsidR="00254D50" w:rsidRDefault="00000B44" w:rsidP="00254D50">
      <w:pPr>
        <w:overflowPunct/>
        <w:autoSpaceDE/>
        <w:autoSpaceDN/>
        <w:adjustRightInd/>
        <w:spacing w:after="160" w:line="259" w:lineRule="auto"/>
        <w:rPr>
          <w:szCs w:val="21"/>
          <w:lang w:val="en-US"/>
        </w:rPr>
      </w:pPr>
      <w:r>
        <w:rPr>
          <w:szCs w:val="21"/>
        </w:rPr>
        <w:t xml:space="preserve">[2] </w:t>
      </w:r>
      <w:r w:rsidR="003E34DA" w:rsidRPr="00C9283F">
        <w:rPr>
          <w:szCs w:val="21"/>
          <w:lang w:val="en-US"/>
        </w:rPr>
        <w:t>R4-1702319</w:t>
      </w:r>
      <w:r w:rsidR="003E34DA">
        <w:rPr>
          <w:szCs w:val="21"/>
          <w:lang w:val="en-US"/>
        </w:rPr>
        <w:t xml:space="preserve">, </w:t>
      </w:r>
      <w:r w:rsidR="003E34DA">
        <w:t xml:space="preserve">RRM way forward for </w:t>
      </w:r>
      <w:proofErr w:type="spellStart"/>
      <w:r w:rsidR="003E34DA">
        <w:t>sTTI</w:t>
      </w:r>
      <w:proofErr w:type="spellEnd"/>
      <w:r w:rsidR="003E34DA">
        <w:t xml:space="preserve"> and processing time reduction, </w:t>
      </w:r>
      <w:r w:rsidR="003E34DA" w:rsidRPr="00C9283F">
        <w:rPr>
          <w:szCs w:val="21"/>
          <w:lang w:val="en-US"/>
        </w:rPr>
        <w:t>Ericsson, Nokia</w:t>
      </w:r>
      <w:r w:rsidR="003E34DA">
        <w:rPr>
          <w:szCs w:val="21"/>
          <w:lang w:val="en-US"/>
        </w:rPr>
        <w:t xml:space="preserve">, </w:t>
      </w:r>
      <w:r w:rsidR="003E34DA" w:rsidRPr="00C9283F">
        <w:rPr>
          <w:szCs w:val="21"/>
          <w:lang w:val="en-US"/>
        </w:rPr>
        <w:t>3GPP TSG-RAN WG4 Meeting #82</w:t>
      </w:r>
      <w:r w:rsidR="003E34DA">
        <w:rPr>
          <w:szCs w:val="21"/>
          <w:lang w:val="en-US"/>
        </w:rPr>
        <w:t xml:space="preserve">, </w:t>
      </w:r>
      <w:r w:rsidR="00C9283F" w:rsidRPr="00C9283F">
        <w:rPr>
          <w:szCs w:val="21"/>
          <w:lang w:val="en-US"/>
        </w:rPr>
        <w:t>TSG-RAN WG4 Meeting #82</w:t>
      </w:r>
      <w:r w:rsidR="003E34DA">
        <w:rPr>
          <w:szCs w:val="21"/>
          <w:lang w:val="en-US"/>
        </w:rPr>
        <w:t xml:space="preserve">, </w:t>
      </w:r>
      <w:r w:rsidR="00C9283F" w:rsidRPr="00C9283F">
        <w:rPr>
          <w:szCs w:val="21"/>
          <w:lang w:val="en-US"/>
        </w:rPr>
        <w:t>Athens</w:t>
      </w:r>
      <w:r w:rsidR="003E34DA">
        <w:rPr>
          <w:szCs w:val="21"/>
          <w:lang w:val="en-US"/>
        </w:rPr>
        <w:t>, Greece, February 2017.</w:t>
      </w:r>
    </w:p>
    <w:p w14:paraId="50200879" w14:textId="3CBC1205" w:rsidR="00CB5C15" w:rsidRPr="00CB5C15" w:rsidRDefault="00CB5C15" w:rsidP="00254D50">
      <w:pPr>
        <w:overflowPunct/>
        <w:autoSpaceDE/>
        <w:autoSpaceDN/>
        <w:adjustRightInd/>
        <w:spacing w:after="160" w:line="259" w:lineRule="auto"/>
        <w:rPr>
          <w:szCs w:val="21"/>
        </w:rPr>
      </w:pPr>
      <w:r>
        <w:rPr>
          <w:szCs w:val="21"/>
          <w:lang w:val="en-US"/>
        </w:rPr>
        <w:t xml:space="preserve">[3] </w:t>
      </w:r>
      <w:r w:rsidRPr="00CB5C15">
        <w:rPr>
          <w:szCs w:val="21"/>
          <w:lang w:val="en-US"/>
        </w:rPr>
        <w:t>R4-1700642</w:t>
      </w:r>
      <w:r>
        <w:rPr>
          <w:szCs w:val="21"/>
          <w:lang w:val="en-US"/>
        </w:rPr>
        <w:t xml:space="preserve">, </w:t>
      </w:r>
      <w:r>
        <w:t xml:space="preserve">Requirements for </w:t>
      </w:r>
      <w:proofErr w:type="spellStart"/>
      <w:r>
        <w:t>sTTI</w:t>
      </w:r>
      <w:proofErr w:type="spellEnd"/>
      <w:r>
        <w:t xml:space="preserve"> and reduced processing time : Interruption based requirements</w:t>
      </w:r>
      <w:r>
        <w:t xml:space="preserve">, Ericsson, </w:t>
      </w:r>
      <w:r w:rsidRPr="00CB5C15">
        <w:t>3GPP TSG-RAN WG4 Meeting #82</w:t>
      </w:r>
      <w:r>
        <w:t xml:space="preserve">, Athens, Greece, </w:t>
      </w:r>
      <w:r w:rsidRPr="00CB5C15">
        <w:t>February 2017</w:t>
      </w:r>
      <w:r>
        <w:t>.</w:t>
      </w:r>
      <w:bookmarkStart w:id="2" w:name="_GoBack"/>
      <w:bookmarkEnd w:id="2"/>
    </w:p>
    <w:sectPr w:rsidR="00CB5C15" w:rsidRPr="00CB5C15" w:rsidSect="00AC0A4A">
      <w:pgSz w:w="12240" w:h="15840"/>
      <w:pgMar w:top="1134" w:right="1440" w:bottom="851"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10EA0"/>
    <w:multiLevelType w:val="hybridMultilevel"/>
    <w:tmpl w:val="139A4A14"/>
    <w:lvl w:ilvl="0" w:tplc="7A628D24">
      <w:start w:val="6"/>
      <w:numFmt w:val="bullet"/>
      <w:lvlText w:val="-"/>
      <w:lvlJc w:val="left"/>
      <w:pPr>
        <w:ind w:left="720" w:hanging="360"/>
      </w:pPr>
      <w:rPr>
        <w:rFonts w:ascii="Calibri" w:eastAsia="Times New Roman" w:hAnsi="Calibri" w:hint="default"/>
      </w:rPr>
    </w:lvl>
    <w:lvl w:ilvl="1" w:tplc="040B0003">
      <w:start w:val="1"/>
      <w:numFmt w:val="bullet"/>
      <w:lvlText w:val="o"/>
      <w:lvlJc w:val="left"/>
      <w:pPr>
        <w:ind w:left="1440" w:hanging="360"/>
      </w:pPr>
      <w:rPr>
        <w:rFonts w:ascii="Courier New" w:hAnsi="Courier New" w:cs="Times New Roman"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Times New Roman"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Times New Roman" w:hint="default"/>
      </w:rPr>
    </w:lvl>
    <w:lvl w:ilvl="8" w:tplc="040B0005">
      <w:start w:val="1"/>
      <w:numFmt w:val="bullet"/>
      <w:lvlText w:val=""/>
      <w:lvlJc w:val="left"/>
      <w:pPr>
        <w:ind w:left="6480" w:hanging="360"/>
      </w:pPr>
      <w:rPr>
        <w:rFonts w:ascii="Wingdings" w:hAnsi="Wingdings" w:hint="default"/>
      </w:rPr>
    </w:lvl>
  </w:abstractNum>
  <w:abstractNum w:abstractNumId="1" w15:restartNumberingAfterBreak="0">
    <w:nsid w:val="32E378B4"/>
    <w:multiLevelType w:val="multilevel"/>
    <w:tmpl w:val="5428D2D0"/>
    <w:lvl w:ilvl="0">
      <w:start w:val="1"/>
      <w:numFmt w:val="decimal"/>
      <w:lvlText w:val="%1"/>
      <w:lvlJc w:val="left"/>
      <w:pPr>
        <w:ind w:left="431" w:hanging="431"/>
      </w:pPr>
      <w:rPr>
        <w:rFonts w:hint="default"/>
      </w:rPr>
    </w:lvl>
    <w:lvl w:ilvl="1">
      <w:start w:val="1"/>
      <w:numFmt w:val="decimal"/>
      <w:pStyle w:val="Heading1"/>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2" w15:restartNumberingAfterBreak="0">
    <w:nsid w:val="5E744228"/>
    <w:multiLevelType w:val="hybridMultilevel"/>
    <w:tmpl w:val="AF4A5498"/>
    <w:lvl w:ilvl="0" w:tplc="41BE8A5E">
      <w:start w:val="1"/>
      <w:numFmt w:val="decimal"/>
      <w:pStyle w:val="Heading2"/>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ECC"/>
    <w:rsid w:val="00000B44"/>
    <w:rsid w:val="00001041"/>
    <w:rsid w:val="0000705B"/>
    <w:rsid w:val="00010616"/>
    <w:rsid w:val="00011575"/>
    <w:rsid w:val="00013F89"/>
    <w:rsid w:val="00014F94"/>
    <w:rsid w:val="000174AE"/>
    <w:rsid w:val="00020341"/>
    <w:rsid w:val="000213DE"/>
    <w:rsid w:val="0003458D"/>
    <w:rsid w:val="00037D04"/>
    <w:rsid w:val="00045E93"/>
    <w:rsid w:val="00046599"/>
    <w:rsid w:val="00054E06"/>
    <w:rsid w:val="00072CFF"/>
    <w:rsid w:val="000757D6"/>
    <w:rsid w:val="00077332"/>
    <w:rsid w:val="0008052B"/>
    <w:rsid w:val="00080BC3"/>
    <w:rsid w:val="000810A3"/>
    <w:rsid w:val="00082A9E"/>
    <w:rsid w:val="00084DAB"/>
    <w:rsid w:val="0009373E"/>
    <w:rsid w:val="000A3406"/>
    <w:rsid w:val="000A3652"/>
    <w:rsid w:val="000A3659"/>
    <w:rsid w:val="000B04FC"/>
    <w:rsid w:val="000B2D40"/>
    <w:rsid w:val="000B6756"/>
    <w:rsid w:val="000B6DCC"/>
    <w:rsid w:val="000B7EF6"/>
    <w:rsid w:val="000C0379"/>
    <w:rsid w:val="000C274F"/>
    <w:rsid w:val="000C345A"/>
    <w:rsid w:val="000C4454"/>
    <w:rsid w:val="000C4667"/>
    <w:rsid w:val="000C4BB6"/>
    <w:rsid w:val="000C5D45"/>
    <w:rsid w:val="000D6B91"/>
    <w:rsid w:val="000E2FAB"/>
    <w:rsid w:val="000E50C9"/>
    <w:rsid w:val="000F4BD5"/>
    <w:rsid w:val="00103619"/>
    <w:rsid w:val="00110A18"/>
    <w:rsid w:val="00110C33"/>
    <w:rsid w:val="00120C98"/>
    <w:rsid w:val="00122D91"/>
    <w:rsid w:val="001255F3"/>
    <w:rsid w:val="00131C51"/>
    <w:rsid w:val="00134534"/>
    <w:rsid w:val="00142FF5"/>
    <w:rsid w:val="001438F1"/>
    <w:rsid w:val="00150CD6"/>
    <w:rsid w:val="001530EF"/>
    <w:rsid w:val="00154638"/>
    <w:rsid w:val="00155490"/>
    <w:rsid w:val="00157DE4"/>
    <w:rsid w:val="00173EDE"/>
    <w:rsid w:val="00184E9B"/>
    <w:rsid w:val="00185F0D"/>
    <w:rsid w:val="00187FC5"/>
    <w:rsid w:val="00192041"/>
    <w:rsid w:val="00192F18"/>
    <w:rsid w:val="0019515E"/>
    <w:rsid w:val="0019564F"/>
    <w:rsid w:val="001967DE"/>
    <w:rsid w:val="001A0991"/>
    <w:rsid w:val="001B442E"/>
    <w:rsid w:val="001B54A6"/>
    <w:rsid w:val="001C04C5"/>
    <w:rsid w:val="001C4647"/>
    <w:rsid w:val="001C6C2A"/>
    <w:rsid w:val="001C79E3"/>
    <w:rsid w:val="001D2DBE"/>
    <w:rsid w:val="001D4099"/>
    <w:rsid w:val="001D458E"/>
    <w:rsid w:val="001D6A98"/>
    <w:rsid w:val="001E0E27"/>
    <w:rsid w:val="001E1F87"/>
    <w:rsid w:val="001E69E3"/>
    <w:rsid w:val="001E77CD"/>
    <w:rsid w:val="001F3449"/>
    <w:rsid w:val="0020313E"/>
    <w:rsid w:val="00207BC6"/>
    <w:rsid w:val="0021582F"/>
    <w:rsid w:val="00220923"/>
    <w:rsid w:val="00221256"/>
    <w:rsid w:val="00227F9A"/>
    <w:rsid w:val="002401D7"/>
    <w:rsid w:val="00244766"/>
    <w:rsid w:val="00246635"/>
    <w:rsid w:val="002507A1"/>
    <w:rsid w:val="00250A9C"/>
    <w:rsid w:val="002535CE"/>
    <w:rsid w:val="00254D50"/>
    <w:rsid w:val="00262586"/>
    <w:rsid w:val="00263B3F"/>
    <w:rsid w:val="00267CFB"/>
    <w:rsid w:val="00277644"/>
    <w:rsid w:val="00283098"/>
    <w:rsid w:val="00286A30"/>
    <w:rsid w:val="00287E37"/>
    <w:rsid w:val="0029740A"/>
    <w:rsid w:val="002A3514"/>
    <w:rsid w:val="002A572B"/>
    <w:rsid w:val="002A5D9C"/>
    <w:rsid w:val="002B576C"/>
    <w:rsid w:val="002B6AF5"/>
    <w:rsid w:val="002C5D88"/>
    <w:rsid w:val="002D0D84"/>
    <w:rsid w:val="002E2C87"/>
    <w:rsid w:val="002E44DD"/>
    <w:rsid w:val="002E4D77"/>
    <w:rsid w:val="002E6F6C"/>
    <w:rsid w:val="002E7AE7"/>
    <w:rsid w:val="002F129D"/>
    <w:rsid w:val="002F4693"/>
    <w:rsid w:val="00306581"/>
    <w:rsid w:val="00310645"/>
    <w:rsid w:val="00321B23"/>
    <w:rsid w:val="0032274F"/>
    <w:rsid w:val="003443B5"/>
    <w:rsid w:val="00363E81"/>
    <w:rsid w:val="0037403F"/>
    <w:rsid w:val="003753F5"/>
    <w:rsid w:val="00375FEB"/>
    <w:rsid w:val="0037663F"/>
    <w:rsid w:val="00381825"/>
    <w:rsid w:val="00386F00"/>
    <w:rsid w:val="00387103"/>
    <w:rsid w:val="003921F2"/>
    <w:rsid w:val="00392F3A"/>
    <w:rsid w:val="003B20A5"/>
    <w:rsid w:val="003C7F5C"/>
    <w:rsid w:val="003E34DA"/>
    <w:rsid w:val="003E74E3"/>
    <w:rsid w:val="003F337E"/>
    <w:rsid w:val="003F5B33"/>
    <w:rsid w:val="003F6EAE"/>
    <w:rsid w:val="0040296B"/>
    <w:rsid w:val="00404963"/>
    <w:rsid w:val="00410E1F"/>
    <w:rsid w:val="0041339E"/>
    <w:rsid w:val="004135F6"/>
    <w:rsid w:val="004137B3"/>
    <w:rsid w:val="00420F7A"/>
    <w:rsid w:val="00423984"/>
    <w:rsid w:val="00427553"/>
    <w:rsid w:val="004312B8"/>
    <w:rsid w:val="0043261C"/>
    <w:rsid w:val="004358DC"/>
    <w:rsid w:val="0044093A"/>
    <w:rsid w:val="00447376"/>
    <w:rsid w:val="004661DA"/>
    <w:rsid w:val="00466C85"/>
    <w:rsid w:val="00472596"/>
    <w:rsid w:val="00473489"/>
    <w:rsid w:val="00493697"/>
    <w:rsid w:val="004942E5"/>
    <w:rsid w:val="004A13DE"/>
    <w:rsid w:val="004A4DFA"/>
    <w:rsid w:val="004C061A"/>
    <w:rsid w:val="004C1C83"/>
    <w:rsid w:val="004C3988"/>
    <w:rsid w:val="004C746B"/>
    <w:rsid w:val="004C7DB5"/>
    <w:rsid w:val="004C7ED9"/>
    <w:rsid w:val="004D46F0"/>
    <w:rsid w:val="004E77C0"/>
    <w:rsid w:val="004F2EE3"/>
    <w:rsid w:val="004F3222"/>
    <w:rsid w:val="005040F1"/>
    <w:rsid w:val="0051370D"/>
    <w:rsid w:val="00523126"/>
    <w:rsid w:val="005241C9"/>
    <w:rsid w:val="005251D8"/>
    <w:rsid w:val="00534E77"/>
    <w:rsid w:val="005361B3"/>
    <w:rsid w:val="005374DF"/>
    <w:rsid w:val="00540DB6"/>
    <w:rsid w:val="00547007"/>
    <w:rsid w:val="005723E8"/>
    <w:rsid w:val="005834E8"/>
    <w:rsid w:val="00586EE2"/>
    <w:rsid w:val="005911F8"/>
    <w:rsid w:val="00592FB0"/>
    <w:rsid w:val="00593316"/>
    <w:rsid w:val="005A205E"/>
    <w:rsid w:val="005A3351"/>
    <w:rsid w:val="005A67B4"/>
    <w:rsid w:val="005B614F"/>
    <w:rsid w:val="005C5C30"/>
    <w:rsid w:val="005D4766"/>
    <w:rsid w:val="005E16EE"/>
    <w:rsid w:val="005E331B"/>
    <w:rsid w:val="005E3498"/>
    <w:rsid w:val="00606D50"/>
    <w:rsid w:val="00614916"/>
    <w:rsid w:val="0062128C"/>
    <w:rsid w:val="0063691B"/>
    <w:rsid w:val="00644E79"/>
    <w:rsid w:val="00646D99"/>
    <w:rsid w:val="0065041A"/>
    <w:rsid w:val="00651B24"/>
    <w:rsid w:val="006745DB"/>
    <w:rsid w:val="00674E2D"/>
    <w:rsid w:val="006826A1"/>
    <w:rsid w:val="00690FD9"/>
    <w:rsid w:val="006A0BC7"/>
    <w:rsid w:val="006A4950"/>
    <w:rsid w:val="006A6582"/>
    <w:rsid w:val="006A6E59"/>
    <w:rsid w:val="006A77F4"/>
    <w:rsid w:val="006B19D2"/>
    <w:rsid w:val="006B5C60"/>
    <w:rsid w:val="006C7567"/>
    <w:rsid w:val="006D4F97"/>
    <w:rsid w:val="006E23A0"/>
    <w:rsid w:val="006E3BE6"/>
    <w:rsid w:val="006E4D57"/>
    <w:rsid w:val="006E50CC"/>
    <w:rsid w:val="006E542A"/>
    <w:rsid w:val="006E666A"/>
    <w:rsid w:val="006F307A"/>
    <w:rsid w:val="006F4016"/>
    <w:rsid w:val="006F7868"/>
    <w:rsid w:val="00707672"/>
    <w:rsid w:val="00717688"/>
    <w:rsid w:val="0072274A"/>
    <w:rsid w:val="00723FA4"/>
    <w:rsid w:val="007251D9"/>
    <w:rsid w:val="00733645"/>
    <w:rsid w:val="00734089"/>
    <w:rsid w:val="00734D18"/>
    <w:rsid w:val="00743370"/>
    <w:rsid w:val="007522B7"/>
    <w:rsid w:val="00755DBD"/>
    <w:rsid w:val="00757566"/>
    <w:rsid w:val="007604C8"/>
    <w:rsid w:val="0076108A"/>
    <w:rsid w:val="00764E63"/>
    <w:rsid w:val="00765D29"/>
    <w:rsid w:val="00767993"/>
    <w:rsid w:val="007701F7"/>
    <w:rsid w:val="00772DF4"/>
    <w:rsid w:val="00783BC3"/>
    <w:rsid w:val="00787AF9"/>
    <w:rsid w:val="00794599"/>
    <w:rsid w:val="007A0876"/>
    <w:rsid w:val="007A2928"/>
    <w:rsid w:val="007A4152"/>
    <w:rsid w:val="007A5AD2"/>
    <w:rsid w:val="007A66F0"/>
    <w:rsid w:val="007A72E3"/>
    <w:rsid w:val="007B2C1B"/>
    <w:rsid w:val="007C46A6"/>
    <w:rsid w:val="007C47F5"/>
    <w:rsid w:val="007E6ACF"/>
    <w:rsid w:val="007F75B9"/>
    <w:rsid w:val="00807D60"/>
    <w:rsid w:val="00807F34"/>
    <w:rsid w:val="00811570"/>
    <w:rsid w:val="00811748"/>
    <w:rsid w:val="00815EBD"/>
    <w:rsid w:val="00816A89"/>
    <w:rsid w:val="00817BAC"/>
    <w:rsid w:val="00822E6B"/>
    <w:rsid w:val="008239DC"/>
    <w:rsid w:val="008348F0"/>
    <w:rsid w:val="00837E87"/>
    <w:rsid w:val="008418A9"/>
    <w:rsid w:val="00842B58"/>
    <w:rsid w:val="00851DB9"/>
    <w:rsid w:val="00881CE4"/>
    <w:rsid w:val="00894277"/>
    <w:rsid w:val="008A1681"/>
    <w:rsid w:val="008A2C61"/>
    <w:rsid w:val="008A2DD2"/>
    <w:rsid w:val="008B06D3"/>
    <w:rsid w:val="008B5D5C"/>
    <w:rsid w:val="008B69E7"/>
    <w:rsid w:val="008C0933"/>
    <w:rsid w:val="008C2B9D"/>
    <w:rsid w:val="008C4AD6"/>
    <w:rsid w:val="008C61DF"/>
    <w:rsid w:val="008D47D2"/>
    <w:rsid w:val="008E0620"/>
    <w:rsid w:val="008E18F0"/>
    <w:rsid w:val="008E419F"/>
    <w:rsid w:val="008E4F64"/>
    <w:rsid w:val="008F4A25"/>
    <w:rsid w:val="008F62B2"/>
    <w:rsid w:val="008F7E8F"/>
    <w:rsid w:val="0090006E"/>
    <w:rsid w:val="00901CBC"/>
    <w:rsid w:val="0090240B"/>
    <w:rsid w:val="00910E30"/>
    <w:rsid w:val="00913C6B"/>
    <w:rsid w:val="00917626"/>
    <w:rsid w:val="00920E0C"/>
    <w:rsid w:val="00921423"/>
    <w:rsid w:val="00922821"/>
    <w:rsid w:val="0092597E"/>
    <w:rsid w:val="0092741D"/>
    <w:rsid w:val="00933B23"/>
    <w:rsid w:val="009514FF"/>
    <w:rsid w:val="00954014"/>
    <w:rsid w:val="009636D1"/>
    <w:rsid w:val="00965F09"/>
    <w:rsid w:val="00967D68"/>
    <w:rsid w:val="00971B03"/>
    <w:rsid w:val="00974954"/>
    <w:rsid w:val="00974C4D"/>
    <w:rsid w:val="00976928"/>
    <w:rsid w:val="00984FC9"/>
    <w:rsid w:val="00990BA9"/>
    <w:rsid w:val="00990DDD"/>
    <w:rsid w:val="009A4B90"/>
    <w:rsid w:val="009B2C7A"/>
    <w:rsid w:val="009B3214"/>
    <w:rsid w:val="009B5B08"/>
    <w:rsid w:val="009B72EE"/>
    <w:rsid w:val="009B75D4"/>
    <w:rsid w:val="009C6350"/>
    <w:rsid w:val="009C6382"/>
    <w:rsid w:val="009D1D0D"/>
    <w:rsid w:val="009D4673"/>
    <w:rsid w:val="009E3EB6"/>
    <w:rsid w:val="009E5453"/>
    <w:rsid w:val="009F05F8"/>
    <w:rsid w:val="009F7385"/>
    <w:rsid w:val="00A006F4"/>
    <w:rsid w:val="00A0732D"/>
    <w:rsid w:val="00A151B4"/>
    <w:rsid w:val="00A25265"/>
    <w:rsid w:val="00A34619"/>
    <w:rsid w:val="00A46DA7"/>
    <w:rsid w:val="00A474CD"/>
    <w:rsid w:val="00A71B57"/>
    <w:rsid w:val="00A7338A"/>
    <w:rsid w:val="00A73A4B"/>
    <w:rsid w:val="00A73DB3"/>
    <w:rsid w:val="00A747F9"/>
    <w:rsid w:val="00A81421"/>
    <w:rsid w:val="00A84254"/>
    <w:rsid w:val="00A86B14"/>
    <w:rsid w:val="00A8789C"/>
    <w:rsid w:val="00A92991"/>
    <w:rsid w:val="00A95B3A"/>
    <w:rsid w:val="00AA428A"/>
    <w:rsid w:val="00AB64FE"/>
    <w:rsid w:val="00AB7563"/>
    <w:rsid w:val="00AC0A4A"/>
    <w:rsid w:val="00AC1F9E"/>
    <w:rsid w:val="00AC3326"/>
    <w:rsid w:val="00AC4DFC"/>
    <w:rsid w:val="00AD1C75"/>
    <w:rsid w:val="00AE73DD"/>
    <w:rsid w:val="00AF1B43"/>
    <w:rsid w:val="00AF1CA9"/>
    <w:rsid w:val="00AF5823"/>
    <w:rsid w:val="00AF58E8"/>
    <w:rsid w:val="00B058D5"/>
    <w:rsid w:val="00B07620"/>
    <w:rsid w:val="00B11DAD"/>
    <w:rsid w:val="00B13FAF"/>
    <w:rsid w:val="00B2324B"/>
    <w:rsid w:val="00B32450"/>
    <w:rsid w:val="00B42F5F"/>
    <w:rsid w:val="00B43CD8"/>
    <w:rsid w:val="00B52C24"/>
    <w:rsid w:val="00B53ECC"/>
    <w:rsid w:val="00B6140B"/>
    <w:rsid w:val="00B67959"/>
    <w:rsid w:val="00B72AD4"/>
    <w:rsid w:val="00B75BF0"/>
    <w:rsid w:val="00B85AEE"/>
    <w:rsid w:val="00B869D6"/>
    <w:rsid w:val="00B86E73"/>
    <w:rsid w:val="00B959F7"/>
    <w:rsid w:val="00BA3305"/>
    <w:rsid w:val="00BA415A"/>
    <w:rsid w:val="00BA6DD5"/>
    <w:rsid w:val="00BB0195"/>
    <w:rsid w:val="00BB7F41"/>
    <w:rsid w:val="00BC3A07"/>
    <w:rsid w:val="00BD0888"/>
    <w:rsid w:val="00BF2441"/>
    <w:rsid w:val="00BF280F"/>
    <w:rsid w:val="00BF5630"/>
    <w:rsid w:val="00C03385"/>
    <w:rsid w:val="00C0477B"/>
    <w:rsid w:val="00C0488E"/>
    <w:rsid w:val="00C10214"/>
    <w:rsid w:val="00C13BC1"/>
    <w:rsid w:val="00C15EDA"/>
    <w:rsid w:val="00C24A9F"/>
    <w:rsid w:val="00C35011"/>
    <w:rsid w:val="00C41145"/>
    <w:rsid w:val="00C461B2"/>
    <w:rsid w:val="00C57469"/>
    <w:rsid w:val="00C62C9D"/>
    <w:rsid w:val="00C70E1F"/>
    <w:rsid w:val="00C80E73"/>
    <w:rsid w:val="00C9283F"/>
    <w:rsid w:val="00C93F61"/>
    <w:rsid w:val="00CA1B8F"/>
    <w:rsid w:val="00CA3593"/>
    <w:rsid w:val="00CA60F4"/>
    <w:rsid w:val="00CB53D4"/>
    <w:rsid w:val="00CB5C15"/>
    <w:rsid w:val="00CB618F"/>
    <w:rsid w:val="00CC0BDC"/>
    <w:rsid w:val="00CD0D7C"/>
    <w:rsid w:val="00CD3A05"/>
    <w:rsid w:val="00CE377A"/>
    <w:rsid w:val="00CE7B7A"/>
    <w:rsid w:val="00CF0A52"/>
    <w:rsid w:val="00CF552D"/>
    <w:rsid w:val="00CF61BE"/>
    <w:rsid w:val="00CF7351"/>
    <w:rsid w:val="00D01153"/>
    <w:rsid w:val="00D02478"/>
    <w:rsid w:val="00D07AA0"/>
    <w:rsid w:val="00D11B35"/>
    <w:rsid w:val="00D214DE"/>
    <w:rsid w:val="00D260D3"/>
    <w:rsid w:val="00D31C77"/>
    <w:rsid w:val="00D32A9F"/>
    <w:rsid w:val="00D37FAB"/>
    <w:rsid w:val="00D432C9"/>
    <w:rsid w:val="00D50E32"/>
    <w:rsid w:val="00D53B0A"/>
    <w:rsid w:val="00D5602A"/>
    <w:rsid w:val="00D72023"/>
    <w:rsid w:val="00D72BC7"/>
    <w:rsid w:val="00D72C41"/>
    <w:rsid w:val="00D83B0F"/>
    <w:rsid w:val="00D86161"/>
    <w:rsid w:val="00D8780D"/>
    <w:rsid w:val="00D919ED"/>
    <w:rsid w:val="00D920DE"/>
    <w:rsid w:val="00D9252E"/>
    <w:rsid w:val="00D9483B"/>
    <w:rsid w:val="00DA7414"/>
    <w:rsid w:val="00DB019E"/>
    <w:rsid w:val="00DB0440"/>
    <w:rsid w:val="00DB13F1"/>
    <w:rsid w:val="00DB2028"/>
    <w:rsid w:val="00DB4B05"/>
    <w:rsid w:val="00DC0BA4"/>
    <w:rsid w:val="00DD7280"/>
    <w:rsid w:val="00DE4178"/>
    <w:rsid w:val="00DE4B4E"/>
    <w:rsid w:val="00E147FB"/>
    <w:rsid w:val="00E352B0"/>
    <w:rsid w:val="00E43F4C"/>
    <w:rsid w:val="00E50457"/>
    <w:rsid w:val="00E52221"/>
    <w:rsid w:val="00E552BA"/>
    <w:rsid w:val="00E7033B"/>
    <w:rsid w:val="00E91E7C"/>
    <w:rsid w:val="00E920C7"/>
    <w:rsid w:val="00E938E7"/>
    <w:rsid w:val="00EB7058"/>
    <w:rsid w:val="00EC4423"/>
    <w:rsid w:val="00EC5A60"/>
    <w:rsid w:val="00EC7D50"/>
    <w:rsid w:val="00ED0DBC"/>
    <w:rsid w:val="00EE2262"/>
    <w:rsid w:val="00EE5C4E"/>
    <w:rsid w:val="00F00495"/>
    <w:rsid w:val="00F035E5"/>
    <w:rsid w:val="00F11507"/>
    <w:rsid w:val="00F13A5C"/>
    <w:rsid w:val="00F14125"/>
    <w:rsid w:val="00F22C5A"/>
    <w:rsid w:val="00F25191"/>
    <w:rsid w:val="00F25799"/>
    <w:rsid w:val="00F309DE"/>
    <w:rsid w:val="00F31FBC"/>
    <w:rsid w:val="00F352EB"/>
    <w:rsid w:val="00F363FB"/>
    <w:rsid w:val="00F40FB5"/>
    <w:rsid w:val="00F41EC2"/>
    <w:rsid w:val="00F4224D"/>
    <w:rsid w:val="00F44C58"/>
    <w:rsid w:val="00F45B7C"/>
    <w:rsid w:val="00F53215"/>
    <w:rsid w:val="00F6059C"/>
    <w:rsid w:val="00F61611"/>
    <w:rsid w:val="00F74DF7"/>
    <w:rsid w:val="00F8358A"/>
    <w:rsid w:val="00FA084D"/>
    <w:rsid w:val="00FA1EB0"/>
    <w:rsid w:val="00FA57DB"/>
    <w:rsid w:val="00FB646A"/>
    <w:rsid w:val="00FC09F3"/>
    <w:rsid w:val="00FC1A01"/>
    <w:rsid w:val="00FC5319"/>
    <w:rsid w:val="00FD083F"/>
    <w:rsid w:val="00FD46E9"/>
    <w:rsid w:val="00FD711C"/>
    <w:rsid w:val="00FE115A"/>
    <w:rsid w:val="00FE7B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EE5E4"/>
  <w15:chartTrackingRefBased/>
  <w15:docId w15:val="{C67EF45E-602D-4904-BF1E-096FDFA92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53ECC"/>
    <w:pPr>
      <w:overflowPunct w:val="0"/>
      <w:autoSpaceDE w:val="0"/>
      <w:autoSpaceDN w:val="0"/>
      <w:adjustRightInd w:val="0"/>
      <w:spacing w:after="180" w:line="240" w:lineRule="auto"/>
    </w:pPr>
    <w:rPr>
      <w:rFonts w:ascii="Times New Roman" w:eastAsia="Times New Roman" w:hAnsi="Times New Roman" w:cs="Times New Roman"/>
      <w:sz w:val="21"/>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B53ECC"/>
    <w:pPr>
      <w:keepNext/>
      <w:keepLines/>
      <w:numPr>
        <w:ilvl w:val="1"/>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zh-CN"/>
    </w:rPr>
  </w:style>
  <w:style w:type="paragraph" w:styleId="Heading2">
    <w:name w:val="heading 2"/>
    <w:basedOn w:val="Normal"/>
    <w:next w:val="Normal"/>
    <w:link w:val="Heading2Char"/>
    <w:uiPriority w:val="9"/>
    <w:unhideWhenUsed/>
    <w:qFormat/>
    <w:rsid w:val="009B2C7A"/>
    <w:pPr>
      <w:keepNext/>
      <w:keepLines/>
      <w:numPr>
        <w:numId w:val="2"/>
      </w:numPr>
      <w:spacing w:before="40" w:after="120"/>
      <w:outlineLvl w:val="1"/>
    </w:pPr>
    <w:rPr>
      <w:rFonts w:ascii="Arial" w:eastAsiaTheme="majorEastAsia" w:hAnsi="Arial" w:cstheme="majorBid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B53ECC"/>
    <w:rPr>
      <w:rFonts w:ascii="Arial" w:eastAsia="Times New Roman" w:hAnsi="Arial" w:cs="Times New Roman"/>
      <w:sz w:val="36"/>
      <w:szCs w:val="20"/>
      <w:lang w:val="en-GB" w:eastAsia="zh-CN"/>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semiHidden/>
    <w:locked/>
    <w:rsid w:val="00B53ECC"/>
    <w:rPr>
      <w:rFonts w:ascii="Arial" w:eastAsia="Times New Roman" w:hAnsi="Arial" w:cs="Times New Roman"/>
      <w:b/>
      <w:noProof/>
      <w:sz w:val="18"/>
      <w:szCs w:val="20"/>
      <w:lang w:eastAsia="zh-CN"/>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unhideWhenUsed/>
    <w:rsid w:val="00B53ECC"/>
    <w:pPr>
      <w:widowControl w:val="0"/>
      <w:overflowPunct w:val="0"/>
      <w:autoSpaceDE w:val="0"/>
      <w:autoSpaceDN w:val="0"/>
      <w:adjustRightInd w:val="0"/>
      <w:spacing w:after="0" w:line="240" w:lineRule="auto"/>
    </w:pPr>
    <w:rPr>
      <w:rFonts w:ascii="Arial" w:eastAsia="Times New Roman" w:hAnsi="Arial" w:cs="Times New Roman"/>
      <w:b/>
      <w:noProof/>
      <w:sz w:val="18"/>
      <w:szCs w:val="20"/>
      <w:lang w:eastAsia="zh-CN"/>
    </w:rPr>
  </w:style>
  <w:style w:type="character" w:customStyle="1" w:styleId="HeaderChar1">
    <w:name w:val="Header Char1"/>
    <w:basedOn w:val="DefaultParagraphFont"/>
    <w:uiPriority w:val="99"/>
    <w:semiHidden/>
    <w:rsid w:val="00B53ECC"/>
    <w:rPr>
      <w:rFonts w:ascii="Times New Roman" w:eastAsia="Times New Roman" w:hAnsi="Times New Roman" w:cs="Times New Roman"/>
      <w:sz w:val="21"/>
      <w:szCs w:val="20"/>
      <w:lang w:val="en-GB"/>
    </w:rPr>
  </w:style>
  <w:style w:type="paragraph" w:styleId="Caption">
    <w:name w:val="caption"/>
    <w:aliases w:val="cap,cap Char,Caption Char1 Char,cap Char Char1,Caption Char Char1 Char,cap Char2"/>
    <w:basedOn w:val="Normal"/>
    <w:next w:val="Normal"/>
    <w:link w:val="CaptionChar"/>
    <w:autoRedefine/>
    <w:unhideWhenUsed/>
    <w:qFormat/>
    <w:rsid w:val="005A3351"/>
    <w:pPr>
      <w:spacing w:after="200"/>
      <w:jc w:val="center"/>
    </w:pPr>
    <w:rPr>
      <w:iCs/>
      <w:sz w:val="18"/>
      <w:szCs w:val="18"/>
    </w:rPr>
  </w:style>
  <w:style w:type="paragraph" w:customStyle="1" w:styleId="B1">
    <w:name w:val="B1"/>
    <w:basedOn w:val="Normal"/>
    <w:link w:val="B1Char1"/>
    <w:rsid w:val="00B53ECC"/>
    <w:pPr>
      <w:overflowPunct/>
      <w:autoSpaceDE/>
      <w:autoSpaceDN/>
      <w:adjustRightInd/>
      <w:ind w:left="568" w:hanging="284"/>
    </w:pPr>
  </w:style>
  <w:style w:type="paragraph" w:customStyle="1" w:styleId="TAC">
    <w:name w:val="TAC"/>
    <w:basedOn w:val="Normal"/>
    <w:link w:val="TACChar"/>
    <w:rsid w:val="00B53ECC"/>
    <w:pPr>
      <w:keepNext/>
      <w:keepLines/>
      <w:spacing w:after="0"/>
      <w:jc w:val="center"/>
      <w:textAlignment w:val="baseline"/>
    </w:pPr>
    <w:rPr>
      <w:rFonts w:ascii="Arial" w:hAnsi="Arial"/>
      <w:sz w:val="18"/>
      <w:szCs w:val="18"/>
      <w:lang w:eastAsia="x-none"/>
    </w:rPr>
  </w:style>
  <w:style w:type="character" w:customStyle="1" w:styleId="TACChar">
    <w:name w:val="TAC Char"/>
    <w:link w:val="TAC"/>
    <w:rsid w:val="00B53ECC"/>
    <w:rPr>
      <w:rFonts w:ascii="Arial" w:eastAsia="Times New Roman" w:hAnsi="Arial" w:cs="Times New Roman"/>
      <w:sz w:val="18"/>
      <w:szCs w:val="18"/>
      <w:lang w:val="en-GB" w:eastAsia="x-none"/>
    </w:rPr>
  </w:style>
  <w:style w:type="paragraph" w:customStyle="1" w:styleId="TH">
    <w:name w:val="TH"/>
    <w:basedOn w:val="Normal"/>
    <w:link w:val="THChar"/>
    <w:rsid w:val="00B53ECC"/>
    <w:pPr>
      <w:keepNext/>
      <w:keepLines/>
      <w:spacing w:before="60"/>
      <w:jc w:val="center"/>
      <w:textAlignment w:val="baseline"/>
    </w:pPr>
    <w:rPr>
      <w:rFonts w:ascii="Arial" w:hAnsi="Arial"/>
      <w:b/>
      <w:bCs/>
      <w:lang w:eastAsia="x-none"/>
    </w:rPr>
  </w:style>
  <w:style w:type="character" w:customStyle="1" w:styleId="THChar">
    <w:name w:val="TH Char"/>
    <w:link w:val="TH"/>
    <w:rsid w:val="00B53ECC"/>
    <w:rPr>
      <w:rFonts w:ascii="Arial" w:eastAsia="Times New Roman" w:hAnsi="Arial" w:cs="Times New Roman"/>
      <w:b/>
      <w:bCs/>
      <w:sz w:val="21"/>
      <w:szCs w:val="20"/>
      <w:lang w:val="en-GB" w:eastAsia="x-none"/>
    </w:rPr>
  </w:style>
  <w:style w:type="paragraph" w:customStyle="1" w:styleId="TAH">
    <w:name w:val="TAH"/>
    <w:basedOn w:val="TAC"/>
    <w:link w:val="TAHCar"/>
    <w:rsid w:val="00B53ECC"/>
    <w:rPr>
      <w:b/>
      <w:bCs/>
    </w:rPr>
  </w:style>
  <w:style w:type="character" w:customStyle="1" w:styleId="TAHCar">
    <w:name w:val="TAH Car"/>
    <w:link w:val="TAH"/>
    <w:rsid w:val="00B53ECC"/>
    <w:rPr>
      <w:rFonts w:ascii="Arial" w:eastAsia="Times New Roman" w:hAnsi="Arial" w:cs="Times New Roman"/>
      <w:b/>
      <w:bCs/>
      <w:sz w:val="18"/>
      <w:szCs w:val="18"/>
      <w:lang w:val="en-GB" w:eastAsia="x-none"/>
    </w:rPr>
  </w:style>
  <w:style w:type="paragraph" w:customStyle="1" w:styleId="TAN">
    <w:name w:val="TAN"/>
    <w:basedOn w:val="Normal"/>
    <w:link w:val="TANChar"/>
    <w:rsid w:val="00B53ECC"/>
    <w:pPr>
      <w:keepNext/>
      <w:keepLines/>
      <w:spacing w:after="0"/>
      <w:ind w:left="851" w:hanging="851"/>
      <w:textAlignment w:val="baseline"/>
    </w:pPr>
    <w:rPr>
      <w:rFonts w:ascii="Arial" w:hAnsi="Arial"/>
      <w:sz w:val="18"/>
      <w:szCs w:val="18"/>
      <w:lang w:eastAsia="x-none"/>
    </w:rPr>
  </w:style>
  <w:style w:type="character" w:customStyle="1" w:styleId="TANChar">
    <w:name w:val="TAN Char"/>
    <w:link w:val="TAN"/>
    <w:rsid w:val="00B53ECC"/>
    <w:rPr>
      <w:rFonts w:ascii="Arial" w:eastAsia="Times New Roman" w:hAnsi="Arial" w:cs="Times New Roman"/>
      <w:sz w:val="18"/>
      <w:szCs w:val="18"/>
      <w:lang w:val="en-GB" w:eastAsia="x-none"/>
    </w:rPr>
  </w:style>
  <w:style w:type="character" w:styleId="CommentReference">
    <w:name w:val="annotation reference"/>
    <w:basedOn w:val="DefaultParagraphFont"/>
    <w:uiPriority w:val="99"/>
    <w:semiHidden/>
    <w:unhideWhenUsed/>
    <w:rsid w:val="00B53ECC"/>
    <w:rPr>
      <w:sz w:val="16"/>
      <w:szCs w:val="16"/>
    </w:rPr>
  </w:style>
  <w:style w:type="paragraph" w:styleId="CommentText">
    <w:name w:val="annotation text"/>
    <w:basedOn w:val="Normal"/>
    <w:link w:val="CommentTextChar"/>
    <w:uiPriority w:val="99"/>
    <w:semiHidden/>
    <w:unhideWhenUsed/>
    <w:rsid w:val="00B53ECC"/>
  </w:style>
  <w:style w:type="character" w:customStyle="1" w:styleId="CommentTextChar">
    <w:name w:val="Comment Text Char"/>
    <w:basedOn w:val="DefaultParagraphFont"/>
    <w:link w:val="CommentText"/>
    <w:uiPriority w:val="99"/>
    <w:semiHidden/>
    <w:rsid w:val="00B53ECC"/>
    <w:rPr>
      <w:rFonts w:ascii="Times New Roman" w:eastAsia="Times New Roman" w:hAnsi="Times New Roman" w:cs="Times New Roman"/>
      <w:sz w:val="21"/>
      <w:szCs w:val="20"/>
      <w:lang w:val="en-GB"/>
    </w:rPr>
  </w:style>
  <w:style w:type="paragraph" w:styleId="CommentSubject">
    <w:name w:val="annotation subject"/>
    <w:basedOn w:val="CommentText"/>
    <w:next w:val="CommentText"/>
    <w:link w:val="CommentSubjectChar"/>
    <w:uiPriority w:val="99"/>
    <w:semiHidden/>
    <w:unhideWhenUsed/>
    <w:rsid w:val="00B53ECC"/>
    <w:rPr>
      <w:b/>
      <w:bCs/>
    </w:rPr>
  </w:style>
  <w:style w:type="character" w:customStyle="1" w:styleId="CommentSubjectChar">
    <w:name w:val="Comment Subject Char"/>
    <w:basedOn w:val="CommentTextChar"/>
    <w:link w:val="CommentSubject"/>
    <w:uiPriority w:val="99"/>
    <w:semiHidden/>
    <w:rsid w:val="00B53ECC"/>
    <w:rPr>
      <w:rFonts w:ascii="Times New Roman" w:eastAsia="Times New Roman" w:hAnsi="Times New Roman" w:cs="Times New Roman"/>
      <w:b/>
      <w:bCs/>
      <w:sz w:val="21"/>
      <w:szCs w:val="20"/>
      <w:lang w:val="en-GB"/>
    </w:rPr>
  </w:style>
  <w:style w:type="paragraph" w:styleId="BalloonText">
    <w:name w:val="Balloon Text"/>
    <w:basedOn w:val="Normal"/>
    <w:link w:val="BalloonTextChar"/>
    <w:uiPriority w:val="99"/>
    <w:semiHidden/>
    <w:unhideWhenUsed/>
    <w:rsid w:val="00B53EC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3ECC"/>
    <w:rPr>
      <w:rFonts w:ascii="Segoe UI" w:eastAsia="Times New Roman" w:hAnsi="Segoe UI" w:cs="Segoe UI"/>
      <w:sz w:val="18"/>
      <w:szCs w:val="18"/>
      <w:lang w:val="en-GB"/>
    </w:rPr>
  </w:style>
  <w:style w:type="character" w:customStyle="1" w:styleId="CaptionChar">
    <w:name w:val="Caption Char"/>
    <w:aliases w:val="cap Char1,cap Char Char,Caption Char1 Char Char,cap Char Char1 Char,Caption Char Char1 Char Char,cap Char2 Char"/>
    <w:link w:val="Caption"/>
    <w:locked/>
    <w:rsid w:val="005A3351"/>
    <w:rPr>
      <w:rFonts w:ascii="Times New Roman" w:eastAsia="Times New Roman" w:hAnsi="Times New Roman" w:cs="Times New Roman"/>
      <w:iCs/>
      <w:sz w:val="18"/>
      <w:szCs w:val="18"/>
      <w:lang w:val="en-GB"/>
    </w:rPr>
  </w:style>
  <w:style w:type="paragraph" w:styleId="ListParagraph">
    <w:name w:val="List Paragraph"/>
    <w:basedOn w:val="Normal"/>
    <w:uiPriority w:val="34"/>
    <w:qFormat/>
    <w:rsid w:val="00B53ECC"/>
    <w:pPr>
      <w:ind w:left="720"/>
      <w:contextualSpacing/>
    </w:pPr>
  </w:style>
  <w:style w:type="character" w:customStyle="1" w:styleId="Heading2Char">
    <w:name w:val="Heading 2 Char"/>
    <w:basedOn w:val="DefaultParagraphFont"/>
    <w:link w:val="Heading2"/>
    <w:uiPriority w:val="9"/>
    <w:rsid w:val="009B2C7A"/>
    <w:rPr>
      <w:rFonts w:ascii="Arial" w:eastAsiaTheme="majorEastAsia" w:hAnsi="Arial" w:cstheme="majorBidi"/>
      <w:sz w:val="26"/>
      <w:szCs w:val="26"/>
      <w:lang w:val="en-GB"/>
    </w:rPr>
  </w:style>
  <w:style w:type="character" w:customStyle="1" w:styleId="B1Char1">
    <w:name w:val="B1 Char1"/>
    <w:basedOn w:val="DefaultParagraphFont"/>
    <w:link w:val="B1"/>
    <w:rsid w:val="00246635"/>
    <w:rPr>
      <w:rFonts w:ascii="Times New Roman" w:eastAsia="Times New Roman" w:hAnsi="Times New Roman" w:cs="Times New Roman"/>
      <w:sz w:val="21"/>
      <w:szCs w:val="20"/>
      <w:lang w:val="en-GB"/>
    </w:rPr>
  </w:style>
  <w:style w:type="paragraph" w:customStyle="1" w:styleId="CRCoverPage">
    <w:name w:val="CR Cover Page"/>
    <w:rsid w:val="003F5B33"/>
    <w:pPr>
      <w:spacing w:after="120" w:line="240" w:lineRule="auto"/>
    </w:pPr>
    <w:rPr>
      <w:rFonts w:ascii="Arial" w:eastAsia="Times New Roman" w:hAnsi="Arial" w:cs="Times New Roman"/>
      <w:sz w:val="20"/>
      <w:szCs w:val="20"/>
      <w:lang w:val="en-GB"/>
    </w:rPr>
  </w:style>
  <w:style w:type="character" w:styleId="Hyperlink">
    <w:name w:val="Hyperlink"/>
    <w:unhideWhenUsed/>
    <w:rsid w:val="00150CD6"/>
    <w:rPr>
      <w:rFonts w:ascii="Arial" w:hAnsi="Arial"/>
      <w:color w:val="124191"/>
      <w:u w:val="single"/>
    </w:rPr>
  </w:style>
  <w:style w:type="paragraph" w:customStyle="1" w:styleId="11BodyText">
    <w:name w:val="11 BodyText"/>
    <w:basedOn w:val="Normal"/>
    <w:link w:val="11BodyTextChar"/>
    <w:rsid w:val="00150CD6"/>
    <w:pPr>
      <w:overflowPunct/>
      <w:autoSpaceDE/>
      <w:autoSpaceDN/>
      <w:adjustRightInd/>
      <w:spacing w:after="220"/>
      <w:ind w:left="1298"/>
    </w:pPr>
    <w:rPr>
      <w:rFonts w:ascii="Arial" w:hAnsi="Arial"/>
      <w:sz w:val="20"/>
      <w:lang w:val="en-US" w:eastAsia="x-none"/>
    </w:rPr>
  </w:style>
  <w:style w:type="character" w:customStyle="1" w:styleId="11BodyTextChar">
    <w:name w:val="11 BodyText Char"/>
    <w:link w:val="11BodyText"/>
    <w:rsid w:val="00150CD6"/>
    <w:rPr>
      <w:rFonts w:ascii="Arial" w:eastAsia="Times New Roman" w:hAnsi="Arial" w:cs="Times New Roman"/>
      <w:sz w:val="20"/>
      <w:szCs w:val="20"/>
      <w:lang w:eastAsia="x-none"/>
    </w:rPr>
  </w:style>
  <w:style w:type="paragraph" w:styleId="NormalWeb">
    <w:name w:val="Normal (Web)"/>
    <w:basedOn w:val="Normal"/>
    <w:uiPriority w:val="99"/>
    <w:semiHidden/>
    <w:unhideWhenUsed/>
    <w:rsid w:val="008E0620"/>
    <w:pPr>
      <w:overflowPunct/>
      <w:autoSpaceDE/>
      <w:autoSpaceDN/>
      <w:adjustRightInd/>
      <w:spacing w:before="100" w:beforeAutospacing="1" w:after="100" w:afterAutospacing="1"/>
    </w:pPr>
    <w:rPr>
      <w:sz w:val="24"/>
      <w:szCs w:val="24"/>
      <w:lang w:val="en-US"/>
    </w:rPr>
  </w:style>
  <w:style w:type="character" w:customStyle="1" w:styleId="B1Char">
    <w:name w:val="B1 Char"/>
    <w:locked/>
    <w:rsid w:val="00593316"/>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57157">
      <w:bodyDiv w:val="1"/>
      <w:marLeft w:val="0"/>
      <w:marRight w:val="0"/>
      <w:marTop w:val="0"/>
      <w:marBottom w:val="0"/>
      <w:divBdr>
        <w:top w:val="none" w:sz="0" w:space="0" w:color="auto"/>
        <w:left w:val="none" w:sz="0" w:space="0" w:color="auto"/>
        <w:bottom w:val="none" w:sz="0" w:space="0" w:color="auto"/>
        <w:right w:val="none" w:sz="0" w:space="0" w:color="auto"/>
      </w:divBdr>
      <w:divsChild>
        <w:div w:id="559484685">
          <w:marLeft w:val="720"/>
          <w:marRight w:val="0"/>
          <w:marTop w:val="0"/>
          <w:marBottom w:val="120"/>
          <w:divBdr>
            <w:top w:val="none" w:sz="0" w:space="0" w:color="auto"/>
            <w:left w:val="none" w:sz="0" w:space="0" w:color="auto"/>
            <w:bottom w:val="none" w:sz="0" w:space="0" w:color="auto"/>
            <w:right w:val="none" w:sz="0" w:space="0" w:color="auto"/>
          </w:divBdr>
        </w:div>
        <w:div w:id="1241326866">
          <w:marLeft w:val="1080"/>
          <w:marRight w:val="0"/>
          <w:marTop w:val="0"/>
          <w:marBottom w:val="120"/>
          <w:divBdr>
            <w:top w:val="none" w:sz="0" w:space="0" w:color="auto"/>
            <w:left w:val="none" w:sz="0" w:space="0" w:color="auto"/>
            <w:bottom w:val="none" w:sz="0" w:space="0" w:color="auto"/>
            <w:right w:val="none" w:sz="0" w:space="0" w:color="auto"/>
          </w:divBdr>
        </w:div>
        <w:div w:id="650062529">
          <w:marLeft w:val="720"/>
          <w:marRight w:val="0"/>
          <w:marTop w:val="0"/>
          <w:marBottom w:val="120"/>
          <w:divBdr>
            <w:top w:val="none" w:sz="0" w:space="0" w:color="auto"/>
            <w:left w:val="none" w:sz="0" w:space="0" w:color="auto"/>
            <w:bottom w:val="none" w:sz="0" w:space="0" w:color="auto"/>
            <w:right w:val="none" w:sz="0" w:space="0" w:color="auto"/>
          </w:divBdr>
        </w:div>
        <w:div w:id="1078481079">
          <w:marLeft w:val="1080"/>
          <w:marRight w:val="0"/>
          <w:marTop w:val="0"/>
          <w:marBottom w:val="120"/>
          <w:divBdr>
            <w:top w:val="none" w:sz="0" w:space="0" w:color="auto"/>
            <w:left w:val="none" w:sz="0" w:space="0" w:color="auto"/>
            <w:bottom w:val="none" w:sz="0" w:space="0" w:color="auto"/>
            <w:right w:val="none" w:sz="0" w:space="0" w:color="auto"/>
          </w:divBdr>
        </w:div>
        <w:div w:id="439951422">
          <w:marLeft w:val="1080"/>
          <w:marRight w:val="0"/>
          <w:marTop w:val="0"/>
          <w:marBottom w:val="120"/>
          <w:divBdr>
            <w:top w:val="none" w:sz="0" w:space="0" w:color="auto"/>
            <w:left w:val="none" w:sz="0" w:space="0" w:color="auto"/>
            <w:bottom w:val="none" w:sz="0" w:space="0" w:color="auto"/>
            <w:right w:val="none" w:sz="0" w:space="0" w:color="auto"/>
          </w:divBdr>
        </w:div>
        <w:div w:id="997733416">
          <w:marLeft w:val="1080"/>
          <w:marRight w:val="0"/>
          <w:marTop w:val="0"/>
          <w:marBottom w:val="120"/>
          <w:divBdr>
            <w:top w:val="none" w:sz="0" w:space="0" w:color="auto"/>
            <w:left w:val="none" w:sz="0" w:space="0" w:color="auto"/>
            <w:bottom w:val="none" w:sz="0" w:space="0" w:color="auto"/>
            <w:right w:val="none" w:sz="0" w:space="0" w:color="auto"/>
          </w:divBdr>
        </w:div>
      </w:divsChild>
    </w:div>
    <w:div w:id="17855416">
      <w:bodyDiv w:val="1"/>
      <w:marLeft w:val="0"/>
      <w:marRight w:val="0"/>
      <w:marTop w:val="0"/>
      <w:marBottom w:val="0"/>
      <w:divBdr>
        <w:top w:val="none" w:sz="0" w:space="0" w:color="auto"/>
        <w:left w:val="none" w:sz="0" w:space="0" w:color="auto"/>
        <w:bottom w:val="none" w:sz="0" w:space="0" w:color="auto"/>
        <w:right w:val="none" w:sz="0" w:space="0" w:color="auto"/>
      </w:divBdr>
      <w:divsChild>
        <w:div w:id="1815180069">
          <w:marLeft w:val="547"/>
          <w:marRight w:val="0"/>
          <w:marTop w:val="134"/>
          <w:marBottom w:val="0"/>
          <w:divBdr>
            <w:top w:val="none" w:sz="0" w:space="0" w:color="auto"/>
            <w:left w:val="none" w:sz="0" w:space="0" w:color="auto"/>
            <w:bottom w:val="none" w:sz="0" w:space="0" w:color="auto"/>
            <w:right w:val="none" w:sz="0" w:space="0" w:color="auto"/>
          </w:divBdr>
        </w:div>
        <w:div w:id="657418352">
          <w:marLeft w:val="547"/>
          <w:marRight w:val="0"/>
          <w:marTop w:val="134"/>
          <w:marBottom w:val="0"/>
          <w:divBdr>
            <w:top w:val="none" w:sz="0" w:space="0" w:color="auto"/>
            <w:left w:val="none" w:sz="0" w:space="0" w:color="auto"/>
            <w:bottom w:val="none" w:sz="0" w:space="0" w:color="auto"/>
            <w:right w:val="none" w:sz="0" w:space="0" w:color="auto"/>
          </w:divBdr>
        </w:div>
        <w:div w:id="756251406">
          <w:marLeft w:val="547"/>
          <w:marRight w:val="0"/>
          <w:marTop w:val="134"/>
          <w:marBottom w:val="0"/>
          <w:divBdr>
            <w:top w:val="none" w:sz="0" w:space="0" w:color="auto"/>
            <w:left w:val="none" w:sz="0" w:space="0" w:color="auto"/>
            <w:bottom w:val="none" w:sz="0" w:space="0" w:color="auto"/>
            <w:right w:val="none" w:sz="0" w:space="0" w:color="auto"/>
          </w:divBdr>
        </w:div>
      </w:divsChild>
    </w:div>
    <w:div w:id="59377397">
      <w:bodyDiv w:val="1"/>
      <w:marLeft w:val="0"/>
      <w:marRight w:val="0"/>
      <w:marTop w:val="0"/>
      <w:marBottom w:val="0"/>
      <w:divBdr>
        <w:top w:val="none" w:sz="0" w:space="0" w:color="auto"/>
        <w:left w:val="none" w:sz="0" w:space="0" w:color="auto"/>
        <w:bottom w:val="none" w:sz="0" w:space="0" w:color="auto"/>
        <w:right w:val="none" w:sz="0" w:space="0" w:color="auto"/>
      </w:divBdr>
    </w:div>
    <w:div w:id="71319370">
      <w:bodyDiv w:val="1"/>
      <w:marLeft w:val="0"/>
      <w:marRight w:val="0"/>
      <w:marTop w:val="0"/>
      <w:marBottom w:val="0"/>
      <w:divBdr>
        <w:top w:val="none" w:sz="0" w:space="0" w:color="auto"/>
        <w:left w:val="none" w:sz="0" w:space="0" w:color="auto"/>
        <w:bottom w:val="none" w:sz="0" w:space="0" w:color="auto"/>
        <w:right w:val="none" w:sz="0" w:space="0" w:color="auto"/>
      </w:divBdr>
    </w:div>
    <w:div w:id="185607157">
      <w:bodyDiv w:val="1"/>
      <w:marLeft w:val="0"/>
      <w:marRight w:val="0"/>
      <w:marTop w:val="0"/>
      <w:marBottom w:val="0"/>
      <w:divBdr>
        <w:top w:val="none" w:sz="0" w:space="0" w:color="auto"/>
        <w:left w:val="none" w:sz="0" w:space="0" w:color="auto"/>
        <w:bottom w:val="none" w:sz="0" w:space="0" w:color="auto"/>
        <w:right w:val="none" w:sz="0" w:space="0" w:color="auto"/>
      </w:divBdr>
    </w:div>
    <w:div w:id="744035393">
      <w:bodyDiv w:val="1"/>
      <w:marLeft w:val="0"/>
      <w:marRight w:val="0"/>
      <w:marTop w:val="0"/>
      <w:marBottom w:val="0"/>
      <w:divBdr>
        <w:top w:val="none" w:sz="0" w:space="0" w:color="auto"/>
        <w:left w:val="none" w:sz="0" w:space="0" w:color="auto"/>
        <w:bottom w:val="none" w:sz="0" w:space="0" w:color="auto"/>
        <w:right w:val="none" w:sz="0" w:space="0" w:color="auto"/>
      </w:divBdr>
    </w:div>
    <w:div w:id="906261205">
      <w:bodyDiv w:val="1"/>
      <w:marLeft w:val="0"/>
      <w:marRight w:val="0"/>
      <w:marTop w:val="0"/>
      <w:marBottom w:val="0"/>
      <w:divBdr>
        <w:top w:val="none" w:sz="0" w:space="0" w:color="auto"/>
        <w:left w:val="none" w:sz="0" w:space="0" w:color="auto"/>
        <w:bottom w:val="none" w:sz="0" w:space="0" w:color="auto"/>
        <w:right w:val="none" w:sz="0" w:space="0" w:color="auto"/>
      </w:divBdr>
    </w:div>
    <w:div w:id="1011757859">
      <w:bodyDiv w:val="1"/>
      <w:marLeft w:val="0"/>
      <w:marRight w:val="0"/>
      <w:marTop w:val="0"/>
      <w:marBottom w:val="0"/>
      <w:divBdr>
        <w:top w:val="none" w:sz="0" w:space="0" w:color="auto"/>
        <w:left w:val="none" w:sz="0" w:space="0" w:color="auto"/>
        <w:bottom w:val="none" w:sz="0" w:space="0" w:color="auto"/>
        <w:right w:val="none" w:sz="0" w:space="0" w:color="auto"/>
      </w:divBdr>
    </w:div>
    <w:div w:id="1070884777">
      <w:bodyDiv w:val="1"/>
      <w:marLeft w:val="0"/>
      <w:marRight w:val="0"/>
      <w:marTop w:val="0"/>
      <w:marBottom w:val="0"/>
      <w:divBdr>
        <w:top w:val="none" w:sz="0" w:space="0" w:color="auto"/>
        <w:left w:val="none" w:sz="0" w:space="0" w:color="auto"/>
        <w:bottom w:val="none" w:sz="0" w:space="0" w:color="auto"/>
        <w:right w:val="none" w:sz="0" w:space="0" w:color="auto"/>
      </w:divBdr>
    </w:div>
    <w:div w:id="1136294078">
      <w:bodyDiv w:val="1"/>
      <w:marLeft w:val="0"/>
      <w:marRight w:val="0"/>
      <w:marTop w:val="0"/>
      <w:marBottom w:val="0"/>
      <w:divBdr>
        <w:top w:val="none" w:sz="0" w:space="0" w:color="auto"/>
        <w:left w:val="none" w:sz="0" w:space="0" w:color="auto"/>
        <w:bottom w:val="none" w:sz="0" w:space="0" w:color="auto"/>
        <w:right w:val="none" w:sz="0" w:space="0" w:color="auto"/>
      </w:divBdr>
      <w:divsChild>
        <w:div w:id="423232615">
          <w:marLeft w:val="547"/>
          <w:marRight w:val="0"/>
          <w:marTop w:val="134"/>
          <w:marBottom w:val="0"/>
          <w:divBdr>
            <w:top w:val="none" w:sz="0" w:space="0" w:color="auto"/>
            <w:left w:val="none" w:sz="0" w:space="0" w:color="auto"/>
            <w:bottom w:val="none" w:sz="0" w:space="0" w:color="auto"/>
            <w:right w:val="none" w:sz="0" w:space="0" w:color="auto"/>
          </w:divBdr>
        </w:div>
        <w:div w:id="2059433344">
          <w:marLeft w:val="1166"/>
          <w:marRight w:val="0"/>
          <w:marTop w:val="115"/>
          <w:marBottom w:val="0"/>
          <w:divBdr>
            <w:top w:val="none" w:sz="0" w:space="0" w:color="auto"/>
            <w:left w:val="none" w:sz="0" w:space="0" w:color="auto"/>
            <w:bottom w:val="none" w:sz="0" w:space="0" w:color="auto"/>
            <w:right w:val="none" w:sz="0" w:space="0" w:color="auto"/>
          </w:divBdr>
        </w:div>
        <w:div w:id="919486523">
          <w:marLeft w:val="1800"/>
          <w:marRight w:val="0"/>
          <w:marTop w:val="96"/>
          <w:marBottom w:val="0"/>
          <w:divBdr>
            <w:top w:val="none" w:sz="0" w:space="0" w:color="auto"/>
            <w:left w:val="none" w:sz="0" w:space="0" w:color="auto"/>
            <w:bottom w:val="none" w:sz="0" w:space="0" w:color="auto"/>
            <w:right w:val="none" w:sz="0" w:space="0" w:color="auto"/>
          </w:divBdr>
        </w:div>
        <w:div w:id="1161694216">
          <w:marLeft w:val="1166"/>
          <w:marRight w:val="0"/>
          <w:marTop w:val="115"/>
          <w:marBottom w:val="0"/>
          <w:divBdr>
            <w:top w:val="none" w:sz="0" w:space="0" w:color="auto"/>
            <w:left w:val="none" w:sz="0" w:space="0" w:color="auto"/>
            <w:bottom w:val="none" w:sz="0" w:space="0" w:color="auto"/>
            <w:right w:val="none" w:sz="0" w:space="0" w:color="auto"/>
          </w:divBdr>
        </w:div>
        <w:div w:id="1228150567">
          <w:marLeft w:val="1166"/>
          <w:marRight w:val="0"/>
          <w:marTop w:val="115"/>
          <w:marBottom w:val="0"/>
          <w:divBdr>
            <w:top w:val="none" w:sz="0" w:space="0" w:color="auto"/>
            <w:left w:val="none" w:sz="0" w:space="0" w:color="auto"/>
            <w:bottom w:val="none" w:sz="0" w:space="0" w:color="auto"/>
            <w:right w:val="none" w:sz="0" w:space="0" w:color="auto"/>
          </w:divBdr>
        </w:div>
      </w:divsChild>
    </w:div>
    <w:div w:id="1203666763">
      <w:bodyDiv w:val="1"/>
      <w:marLeft w:val="0"/>
      <w:marRight w:val="0"/>
      <w:marTop w:val="0"/>
      <w:marBottom w:val="0"/>
      <w:divBdr>
        <w:top w:val="none" w:sz="0" w:space="0" w:color="auto"/>
        <w:left w:val="none" w:sz="0" w:space="0" w:color="auto"/>
        <w:bottom w:val="none" w:sz="0" w:space="0" w:color="auto"/>
        <w:right w:val="none" w:sz="0" w:space="0" w:color="auto"/>
      </w:divBdr>
    </w:div>
    <w:div w:id="1244756396">
      <w:bodyDiv w:val="1"/>
      <w:marLeft w:val="0"/>
      <w:marRight w:val="0"/>
      <w:marTop w:val="0"/>
      <w:marBottom w:val="0"/>
      <w:divBdr>
        <w:top w:val="none" w:sz="0" w:space="0" w:color="auto"/>
        <w:left w:val="none" w:sz="0" w:space="0" w:color="auto"/>
        <w:bottom w:val="none" w:sz="0" w:space="0" w:color="auto"/>
        <w:right w:val="none" w:sz="0" w:space="0" w:color="auto"/>
      </w:divBdr>
    </w:div>
    <w:div w:id="1256673576">
      <w:bodyDiv w:val="1"/>
      <w:marLeft w:val="0"/>
      <w:marRight w:val="0"/>
      <w:marTop w:val="0"/>
      <w:marBottom w:val="0"/>
      <w:divBdr>
        <w:top w:val="none" w:sz="0" w:space="0" w:color="auto"/>
        <w:left w:val="none" w:sz="0" w:space="0" w:color="auto"/>
        <w:bottom w:val="none" w:sz="0" w:space="0" w:color="auto"/>
        <w:right w:val="none" w:sz="0" w:space="0" w:color="auto"/>
      </w:divBdr>
      <w:divsChild>
        <w:div w:id="499589722">
          <w:marLeft w:val="547"/>
          <w:marRight w:val="0"/>
          <w:marTop w:val="134"/>
          <w:marBottom w:val="0"/>
          <w:divBdr>
            <w:top w:val="none" w:sz="0" w:space="0" w:color="auto"/>
            <w:left w:val="none" w:sz="0" w:space="0" w:color="auto"/>
            <w:bottom w:val="none" w:sz="0" w:space="0" w:color="auto"/>
            <w:right w:val="none" w:sz="0" w:space="0" w:color="auto"/>
          </w:divBdr>
        </w:div>
        <w:div w:id="721977141">
          <w:marLeft w:val="1166"/>
          <w:marRight w:val="0"/>
          <w:marTop w:val="115"/>
          <w:marBottom w:val="0"/>
          <w:divBdr>
            <w:top w:val="none" w:sz="0" w:space="0" w:color="auto"/>
            <w:left w:val="none" w:sz="0" w:space="0" w:color="auto"/>
            <w:bottom w:val="none" w:sz="0" w:space="0" w:color="auto"/>
            <w:right w:val="none" w:sz="0" w:space="0" w:color="auto"/>
          </w:divBdr>
        </w:div>
        <w:div w:id="181434272">
          <w:marLeft w:val="1800"/>
          <w:marRight w:val="0"/>
          <w:marTop w:val="96"/>
          <w:marBottom w:val="0"/>
          <w:divBdr>
            <w:top w:val="none" w:sz="0" w:space="0" w:color="auto"/>
            <w:left w:val="none" w:sz="0" w:space="0" w:color="auto"/>
            <w:bottom w:val="none" w:sz="0" w:space="0" w:color="auto"/>
            <w:right w:val="none" w:sz="0" w:space="0" w:color="auto"/>
          </w:divBdr>
        </w:div>
        <w:div w:id="1426654112">
          <w:marLeft w:val="1166"/>
          <w:marRight w:val="0"/>
          <w:marTop w:val="115"/>
          <w:marBottom w:val="0"/>
          <w:divBdr>
            <w:top w:val="none" w:sz="0" w:space="0" w:color="auto"/>
            <w:left w:val="none" w:sz="0" w:space="0" w:color="auto"/>
            <w:bottom w:val="none" w:sz="0" w:space="0" w:color="auto"/>
            <w:right w:val="none" w:sz="0" w:space="0" w:color="auto"/>
          </w:divBdr>
        </w:div>
        <w:div w:id="792020161">
          <w:marLeft w:val="1166"/>
          <w:marRight w:val="0"/>
          <w:marTop w:val="115"/>
          <w:marBottom w:val="0"/>
          <w:divBdr>
            <w:top w:val="none" w:sz="0" w:space="0" w:color="auto"/>
            <w:left w:val="none" w:sz="0" w:space="0" w:color="auto"/>
            <w:bottom w:val="none" w:sz="0" w:space="0" w:color="auto"/>
            <w:right w:val="none" w:sz="0" w:space="0" w:color="auto"/>
          </w:divBdr>
        </w:div>
      </w:divsChild>
    </w:div>
    <w:div w:id="1337223867">
      <w:bodyDiv w:val="1"/>
      <w:marLeft w:val="0"/>
      <w:marRight w:val="0"/>
      <w:marTop w:val="0"/>
      <w:marBottom w:val="0"/>
      <w:divBdr>
        <w:top w:val="none" w:sz="0" w:space="0" w:color="auto"/>
        <w:left w:val="none" w:sz="0" w:space="0" w:color="auto"/>
        <w:bottom w:val="none" w:sz="0" w:space="0" w:color="auto"/>
        <w:right w:val="none" w:sz="0" w:space="0" w:color="auto"/>
      </w:divBdr>
    </w:div>
    <w:div w:id="1366828919">
      <w:bodyDiv w:val="1"/>
      <w:marLeft w:val="0"/>
      <w:marRight w:val="0"/>
      <w:marTop w:val="0"/>
      <w:marBottom w:val="0"/>
      <w:divBdr>
        <w:top w:val="none" w:sz="0" w:space="0" w:color="auto"/>
        <w:left w:val="none" w:sz="0" w:space="0" w:color="auto"/>
        <w:bottom w:val="none" w:sz="0" w:space="0" w:color="auto"/>
        <w:right w:val="none" w:sz="0" w:space="0" w:color="auto"/>
      </w:divBdr>
    </w:div>
    <w:div w:id="1403789976">
      <w:bodyDiv w:val="1"/>
      <w:marLeft w:val="0"/>
      <w:marRight w:val="0"/>
      <w:marTop w:val="0"/>
      <w:marBottom w:val="0"/>
      <w:divBdr>
        <w:top w:val="none" w:sz="0" w:space="0" w:color="auto"/>
        <w:left w:val="none" w:sz="0" w:space="0" w:color="auto"/>
        <w:bottom w:val="none" w:sz="0" w:space="0" w:color="auto"/>
        <w:right w:val="none" w:sz="0" w:space="0" w:color="auto"/>
      </w:divBdr>
    </w:div>
    <w:div w:id="1524512003">
      <w:bodyDiv w:val="1"/>
      <w:marLeft w:val="0"/>
      <w:marRight w:val="0"/>
      <w:marTop w:val="0"/>
      <w:marBottom w:val="0"/>
      <w:divBdr>
        <w:top w:val="none" w:sz="0" w:space="0" w:color="auto"/>
        <w:left w:val="none" w:sz="0" w:space="0" w:color="auto"/>
        <w:bottom w:val="none" w:sz="0" w:space="0" w:color="auto"/>
        <w:right w:val="none" w:sz="0" w:space="0" w:color="auto"/>
      </w:divBdr>
    </w:div>
    <w:div w:id="1524636586">
      <w:bodyDiv w:val="1"/>
      <w:marLeft w:val="0"/>
      <w:marRight w:val="0"/>
      <w:marTop w:val="0"/>
      <w:marBottom w:val="0"/>
      <w:divBdr>
        <w:top w:val="none" w:sz="0" w:space="0" w:color="auto"/>
        <w:left w:val="none" w:sz="0" w:space="0" w:color="auto"/>
        <w:bottom w:val="none" w:sz="0" w:space="0" w:color="auto"/>
        <w:right w:val="none" w:sz="0" w:space="0" w:color="auto"/>
      </w:divBdr>
    </w:div>
    <w:div w:id="1602641861">
      <w:bodyDiv w:val="1"/>
      <w:marLeft w:val="0"/>
      <w:marRight w:val="0"/>
      <w:marTop w:val="0"/>
      <w:marBottom w:val="0"/>
      <w:divBdr>
        <w:top w:val="none" w:sz="0" w:space="0" w:color="auto"/>
        <w:left w:val="none" w:sz="0" w:space="0" w:color="auto"/>
        <w:bottom w:val="none" w:sz="0" w:space="0" w:color="auto"/>
        <w:right w:val="none" w:sz="0" w:space="0" w:color="auto"/>
      </w:divBdr>
    </w:div>
    <w:div w:id="1615795178">
      <w:bodyDiv w:val="1"/>
      <w:marLeft w:val="0"/>
      <w:marRight w:val="0"/>
      <w:marTop w:val="0"/>
      <w:marBottom w:val="0"/>
      <w:divBdr>
        <w:top w:val="none" w:sz="0" w:space="0" w:color="auto"/>
        <w:left w:val="none" w:sz="0" w:space="0" w:color="auto"/>
        <w:bottom w:val="none" w:sz="0" w:space="0" w:color="auto"/>
        <w:right w:val="none" w:sz="0" w:space="0" w:color="auto"/>
      </w:divBdr>
    </w:div>
    <w:div w:id="1749502949">
      <w:bodyDiv w:val="1"/>
      <w:marLeft w:val="0"/>
      <w:marRight w:val="0"/>
      <w:marTop w:val="0"/>
      <w:marBottom w:val="0"/>
      <w:divBdr>
        <w:top w:val="none" w:sz="0" w:space="0" w:color="auto"/>
        <w:left w:val="none" w:sz="0" w:space="0" w:color="auto"/>
        <w:bottom w:val="none" w:sz="0" w:space="0" w:color="auto"/>
        <w:right w:val="none" w:sz="0" w:space="0" w:color="auto"/>
      </w:divBdr>
    </w:div>
    <w:div w:id="1757052769">
      <w:bodyDiv w:val="1"/>
      <w:marLeft w:val="0"/>
      <w:marRight w:val="0"/>
      <w:marTop w:val="0"/>
      <w:marBottom w:val="0"/>
      <w:divBdr>
        <w:top w:val="none" w:sz="0" w:space="0" w:color="auto"/>
        <w:left w:val="none" w:sz="0" w:space="0" w:color="auto"/>
        <w:bottom w:val="none" w:sz="0" w:space="0" w:color="auto"/>
        <w:right w:val="none" w:sz="0" w:space="0" w:color="auto"/>
      </w:divBdr>
    </w:div>
    <w:div w:id="1829009234">
      <w:bodyDiv w:val="1"/>
      <w:marLeft w:val="0"/>
      <w:marRight w:val="0"/>
      <w:marTop w:val="0"/>
      <w:marBottom w:val="0"/>
      <w:divBdr>
        <w:top w:val="none" w:sz="0" w:space="0" w:color="auto"/>
        <w:left w:val="none" w:sz="0" w:space="0" w:color="auto"/>
        <w:bottom w:val="none" w:sz="0" w:space="0" w:color="auto"/>
        <w:right w:val="none" w:sz="0" w:space="0" w:color="auto"/>
      </w:divBdr>
    </w:div>
    <w:div w:id="1910459124">
      <w:bodyDiv w:val="1"/>
      <w:marLeft w:val="0"/>
      <w:marRight w:val="0"/>
      <w:marTop w:val="0"/>
      <w:marBottom w:val="0"/>
      <w:divBdr>
        <w:top w:val="none" w:sz="0" w:space="0" w:color="auto"/>
        <w:left w:val="none" w:sz="0" w:space="0" w:color="auto"/>
        <w:bottom w:val="none" w:sz="0" w:space="0" w:color="auto"/>
        <w:right w:val="none" w:sz="0" w:space="0" w:color="auto"/>
      </w:divBdr>
      <w:divsChild>
        <w:div w:id="327825487">
          <w:marLeft w:val="720"/>
          <w:marRight w:val="0"/>
          <w:marTop w:val="0"/>
          <w:marBottom w:val="120"/>
          <w:divBdr>
            <w:top w:val="none" w:sz="0" w:space="0" w:color="auto"/>
            <w:left w:val="none" w:sz="0" w:space="0" w:color="auto"/>
            <w:bottom w:val="none" w:sz="0" w:space="0" w:color="auto"/>
            <w:right w:val="none" w:sz="0" w:space="0" w:color="auto"/>
          </w:divBdr>
        </w:div>
        <w:div w:id="1111706255">
          <w:marLeft w:val="1080"/>
          <w:marRight w:val="0"/>
          <w:marTop w:val="0"/>
          <w:marBottom w:val="120"/>
          <w:divBdr>
            <w:top w:val="none" w:sz="0" w:space="0" w:color="auto"/>
            <w:left w:val="none" w:sz="0" w:space="0" w:color="auto"/>
            <w:bottom w:val="none" w:sz="0" w:space="0" w:color="auto"/>
            <w:right w:val="none" w:sz="0" w:space="0" w:color="auto"/>
          </w:divBdr>
        </w:div>
        <w:div w:id="962808163">
          <w:marLeft w:val="720"/>
          <w:marRight w:val="0"/>
          <w:marTop w:val="0"/>
          <w:marBottom w:val="120"/>
          <w:divBdr>
            <w:top w:val="none" w:sz="0" w:space="0" w:color="auto"/>
            <w:left w:val="none" w:sz="0" w:space="0" w:color="auto"/>
            <w:bottom w:val="none" w:sz="0" w:space="0" w:color="auto"/>
            <w:right w:val="none" w:sz="0" w:space="0" w:color="auto"/>
          </w:divBdr>
        </w:div>
        <w:div w:id="1134371759">
          <w:marLeft w:val="1080"/>
          <w:marRight w:val="0"/>
          <w:marTop w:val="0"/>
          <w:marBottom w:val="120"/>
          <w:divBdr>
            <w:top w:val="none" w:sz="0" w:space="0" w:color="auto"/>
            <w:left w:val="none" w:sz="0" w:space="0" w:color="auto"/>
            <w:bottom w:val="none" w:sz="0" w:space="0" w:color="auto"/>
            <w:right w:val="none" w:sz="0" w:space="0" w:color="auto"/>
          </w:divBdr>
        </w:div>
        <w:div w:id="1787967242">
          <w:marLeft w:val="1080"/>
          <w:marRight w:val="0"/>
          <w:marTop w:val="0"/>
          <w:marBottom w:val="120"/>
          <w:divBdr>
            <w:top w:val="none" w:sz="0" w:space="0" w:color="auto"/>
            <w:left w:val="none" w:sz="0" w:space="0" w:color="auto"/>
            <w:bottom w:val="none" w:sz="0" w:space="0" w:color="auto"/>
            <w:right w:val="none" w:sz="0" w:space="0" w:color="auto"/>
          </w:divBdr>
        </w:div>
        <w:div w:id="1467161321">
          <w:marLeft w:val="1080"/>
          <w:marRight w:val="0"/>
          <w:marTop w:val="0"/>
          <w:marBottom w:val="120"/>
          <w:divBdr>
            <w:top w:val="none" w:sz="0" w:space="0" w:color="auto"/>
            <w:left w:val="none" w:sz="0" w:space="0" w:color="auto"/>
            <w:bottom w:val="none" w:sz="0" w:space="0" w:color="auto"/>
            <w:right w:val="none" w:sz="0" w:space="0" w:color="auto"/>
          </w:divBdr>
        </w:div>
      </w:divsChild>
    </w:div>
    <w:div w:id="1912424642">
      <w:bodyDiv w:val="1"/>
      <w:marLeft w:val="0"/>
      <w:marRight w:val="0"/>
      <w:marTop w:val="0"/>
      <w:marBottom w:val="0"/>
      <w:divBdr>
        <w:top w:val="none" w:sz="0" w:space="0" w:color="auto"/>
        <w:left w:val="none" w:sz="0" w:space="0" w:color="auto"/>
        <w:bottom w:val="none" w:sz="0" w:space="0" w:color="auto"/>
        <w:right w:val="none" w:sz="0" w:space="0" w:color="auto"/>
      </w:divBdr>
    </w:div>
    <w:div w:id="1953513142">
      <w:bodyDiv w:val="1"/>
      <w:marLeft w:val="0"/>
      <w:marRight w:val="0"/>
      <w:marTop w:val="0"/>
      <w:marBottom w:val="0"/>
      <w:divBdr>
        <w:top w:val="none" w:sz="0" w:space="0" w:color="auto"/>
        <w:left w:val="none" w:sz="0" w:space="0" w:color="auto"/>
        <w:bottom w:val="none" w:sz="0" w:space="0" w:color="auto"/>
        <w:right w:val="none" w:sz="0" w:space="0" w:color="auto"/>
      </w:divBdr>
    </w:div>
    <w:div w:id="2065566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A465AF73-00B5-44BF-8E31-C8AA624F0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814</Words>
  <Characters>6596</Characters>
  <Application>Microsoft Office Word</Application>
  <DocSecurity>0</DocSecurity>
  <Lines>54</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3</cp:revision>
  <dcterms:created xsi:type="dcterms:W3CDTF">2017-03-24T11:16:00Z</dcterms:created>
  <dcterms:modified xsi:type="dcterms:W3CDTF">2017-03-24T11:39:00Z</dcterms:modified>
</cp:coreProperties>
</file>